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A7" w:rsidRPr="00CD40B9" w:rsidRDefault="00607CA7" w:rsidP="00607CA7">
      <w:pPr>
        <w:keepNext/>
        <w:spacing w:before="240" w:after="6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CD40B9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Распространенность моделей профильного обучения в общеобразовательных учреждениях</w:t>
      </w:r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Концепцией профильного обучения на старшей ступени общего образования определены две основные формы реализации профильного обучения: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модель </w:t>
      </w:r>
      <w:proofErr w:type="spell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внутришкольной</w:t>
      </w:r>
      <w:proofErr w:type="spellEnd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профилизации</w:t>
      </w:r>
      <w:proofErr w:type="spell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модель сетевой организации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профильного обучения.</w:t>
      </w:r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мониторингового исследования под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моделью </w:t>
      </w:r>
      <w:proofErr w:type="spell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внутришкольной</w:t>
      </w:r>
      <w:proofErr w:type="spellEnd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профилизации</w:t>
      </w:r>
      <w:proofErr w:type="spell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понималась организация профильного обучения, предполагающая профильную дифференциацию обучения в старшей школе в рамках одного общеобразовательного учреждения.</w:t>
      </w:r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общеобразовательное учреждение может быть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однопрофильным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(реализовывать только один избранный профиль) и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многопрофильным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(организовать несколько профилей обучения). </w:t>
      </w:r>
      <w:proofErr w:type="gramStart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общеобразовательное учреждение может быть в целом не ориентировано на конкретные профили, но за счет значительного увеличения числа элективных курсов предоставлять школьникам возможность (в том числе, в форме многообразных учебных </w:t>
      </w:r>
      <w:proofErr w:type="spellStart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межклассных</w:t>
      </w:r>
      <w:proofErr w:type="spell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групп) в полной мере осуществлять свои индивидуальные профильные образовательные программы, включая в них те или иные профильные предметы и элективные курсы, в виде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универсального профиля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сетевой моделью </w:t>
      </w:r>
      <w:proofErr w:type="spell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профилизации</w:t>
      </w:r>
      <w:proofErr w:type="spell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понималась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профильного обучения учащихся за счет привлечения образовательных ресурсов других образовательных учреждений, например, других школ, высших учебных заведений и т.д. </w:t>
      </w:r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показали результаты мониторингового исследования,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модель сетевой организации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обучения среди школ Ленинградской области получила существенно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меньшее распространение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модель </w:t>
      </w:r>
      <w:proofErr w:type="spellStart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 некоторых школах реализуются сразу обе модели профильного обучения.</w:t>
      </w:r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области доля общеобразовательных учреждений, реализующих профильное обучение только по модели</w:t>
      </w:r>
      <w:r w:rsidRPr="00CD4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4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внутришкольной</w:t>
      </w:r>
      <w:proofErr w:type="spellEnd"/>
      <w:r w:rsidRPr="00CD4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D4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профилизации</w:t>
      </w:r>
      <w:proofErr w:type="spell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относительно количества общеобразовательных организаций, имеющих классы профильного обучения, составила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98,2%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OLE_LINK1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модели</w:t>
      </w:r>
      <w:r w:rsidRPr="00CD4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сетевого взаимодействия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1,8% 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организаций, </w:t>
      </w:r>
      <w:bookmarkStart w:id="1" w:name="OLE_LINK2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CD4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 модели</w:t>
      </w:r>
      <w:bookmarkEnd w:id="1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профильного обучения используют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10,2% 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области. Сведения о количестве/ доле организаций (от количества общеобразовательных организаций, имеющих классы профильного обучения), реализующих профильное </w:t>
      </w:r>
      <w:proofErr w:type="gramStart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модели</w:t>
      </w:r>
      <w:proofErr w:type="gram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модели сетевой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представлены в табл. 4.6.</w:t>
      </w:r>
    </w:p>
    <w:p w:rsidR="00607CA7" w:rsidRDefault="00607CA7" w:rsidP="00607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CA7" w:rsidRPr="00CD40B9" w:rsidRDefault="00607CA7" w:rsidP="00607C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4.6 – Сведения о количестве/ доле организаций (от количества общеобразовательных организаций, имеющих классы профильного обучения), реализующих профильное </w:t>
      </w:r>
      <w:proofErr w:type="gramStart"/>
      <w:r w:rsidRPr="00CD40B9">
        <w:rPr>
          <w:rFonts w:ascii="Times New Roman" w:eastAsia="Calibri" w:hAnsi="Times New Roman" w:cs="Times New Roman"/>
          <w:sz w:val="24"/>
          <w:szCs w:val="24"/>
        </w:rPr>
        <w:t>обучение по модели</w:t>
      </w:r>
      <w:proofErr w:type="gramEnd"/>
      <w:r w:rsidRPr="00CD4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40B9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CD4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40B9">
        <w:rPr>
          <w:rFonts w:ascii="Times New Roman" w:eastAsia="Calibri" w:hAnsi="Times New Roman" w:cs="Times New Roman"/>
          <w:sz w:val="24"/>
          <w:szCs w:val="24"/>
        </w:rPr>
        <w:t>профилизации</w:t>
      </w:r>
      <w:proofErr w:type="spellEnd"/>
      <w:r w:rsidRPr="00CD40B9">
        <w:rPr>
          <w:rFonts w:ascii="Times New Roman" w:eastAsia="Calibri" w:hAnsi="Times New Roman" w:cs="Times New Roman"/>
          <w:sz w:val="24"/>
          <w:szCs w:val="24"/>
        </w:rPr>
        <w:t xml:space="preserve"> и по модели сетевой организации в 2019-2020 учебном году</w:t>
      </w:r>
    </w:p>
    <w:p w:rsidR="00607CA7" w:rsidRPr="00CD40B9" w:rsidRDefault="00607CA7" w:rsidP="00607C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1"/>
        <w:gridCol w:w="733"/>
        <w:gridCol w:w="853"/>
        <w:gridCol w:w="825"/>
        <w:gridCol w:w="851"/>
        <w:gridCol w:w="992"/>
        <w:gridCol w:w="990"/>
        <w:gridCol w:w="819"/>
      </w:tblGrid>
      <w:tr w:rsidR="00607CA7" w:rsidRPr="00715217" w:rsidTr="00B00876">
        <w:tc>
          <w:tcPr>
            <w:tcW w:w="534" w:type="dxa"/>
            <w:vMerge w:val="restart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3262" w:type="dxa"/>
            <w:gridSpan w:val="4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Количество/ доля организаций (от количества общеобразовательных организаций, имеющих классы профильного обучения), реализующих профильное </w:t>
            </w:r>
            <w:proofErr w:type="gram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модели</w:t>
            </w:r>
            <w:proofErr w:type="gram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внутришкольной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профилизации</w:t>
            </w:r>
            <w:proofErr w:type="spellEnd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(ед./%)</w:t>
            </w:r>
          </w:p>
        </w:tc>
        <w:tc>
          <w:tcPr>
            <w:tcW w:w="3652" w:type="dxa"/>
            <w:gridSpan w:val="4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Количество/ доля организаций (от количества общеобразовательных организаций, имеющих классы профильного обучения, реализующих профильное обучение по модели сетевой организации (ед./%)</w:t>
            </w:r>
            <w:proofErr w:type="gramEnd"/>
          </w:p>
        </w:tc>
      </w:tr>
      <w:tr w:rsidR="00607CA7" w:rsidRPr="00715217" w:rsidTr="00B00876">
        <w:trPr>
          <w:trHeight w:val="312"/>
        </w:trPr>
        <w:tc>
          <w:tcPr>
            <w:tcW w:w="534" w:type="dxa"/>
            <w:vMerge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733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853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992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990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left="-37" w:right="-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07CA7" w:rsidRPr="00715217" w:rsidTr="00B00876">
        <w:trPr>
          <w:trHeight w:val="158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607CA7" w:rsidRPr="00715217" w:rsidTr="00B00876">
        <w:trPr>
          <w:trHeight w:val="226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2,7</w:t>
            </w:r>
          </w:p>
        </w:tc>
      </w:tr>
      <w:tr w:rsidR="00607CA7" w:rsidRPr="00715217" w:rsidTr="00B00876">
        <w:trPr>
          <w:trHeight w:val="286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Волховский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2,2</w:t>
            </w:r>
          </w:p>
        </w:tc>
      </w:tr>
      <w:tr w:rsidR="00607CA7" w:rsidRPr="00715217" w:rsidTr="00B00876">
        <w:trPr>
          <w:trHeight w:val="262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Всеволожский</w:t>
            </w:r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2,2</w:t>
            </w:r>
          </w:p>
        </w:tc>
      </w:tr>
      <w:tr w:rsidR="00607CA7" w:rsidRPr="00715217" w:rsidTr="00B00876">
        <w:trPr>
          <w:trHeight w:val="138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Выборгский</w:t>
            </w:r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5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0,9</w:t>
            </w:r>
          </w:p>
        </w:tc>
      </w:tr>
      <w:tr w:rsidR="00607CA7" w:rsidRPr="00715217" w:rsidTr="00B00876">
        <w:trPr>
          <w:trHeight w:val="225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607CA7" w:rsidRPr="00715217" w:rsidTr="00B00876">
        <w:trPr>
          <w:trHeight w:val="144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Кингисеппский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0,9</w:t>
            </w:r>
          </w:p>
        </w:tc>
      </w:tr>
      <w:tr w:rsidR="00607CA7" w:rsidRPr="00715217" w:rsidTr="00B00876">
        <w:trPr>
          <w:trHeight w:val="218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Киришский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607CA7" w:rsidRPr="00715217" w:rsidTr="00B00876">
        <w:trPr>
          <w:trHeight w:val="135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Кировский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607CA7" w:rsidRPr="00715217" w:rsidTr="00B00876">
        <w:trPr>
          <w:trHeight w:val="224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0,9</w:t>
            </w:r>
          </w:p>
        </w:tc>
      </w:tr>
      <w:tr w:rsidR="00607CA7" w:rsidRPr="00715217" w:rsidTr="00B00876">
        <w:trPr>
          <w:trHeight w:val="141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Ломоносовский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607CA7" w:rsidRPr="00715217" w:rsidTr="00B00876">
        <w:trPr>
          <w:trHeight w:val="230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Лужский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1,8</w:t>
            </w:r>
          </w:p>
        </w:tc>
      </w:tr>
      <w:tr w:rsidR="00607CA7" w:rsidRPr="00715217" w:rsidTr="00B00876">
        <w:trPr>
          <w:trHeight w:val="262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Подпорожский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607CA7" w:rsidRPr="00715217" w:rsidTr="00B00876">
        <w:trPr>
          <w:trHeight w:val="279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Приозерский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607CA7" w:rsidRPr="00715217" w:rsidTr="00B00876">
        <w:trPr>
          <w:trHeight w:val="269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right="-100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607CA7" w:rsidRPr="00715217" w:rsidTr="00B00876">
        <w:trPr>
          <w:trHeight w:val="273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left="2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Сосновый Бор</w:t>
            </w:r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607CA7" w:rsidRPr="00715217" w:rsidTr="00B00876">
        <w:trPr>
          <w:trHeight w:val="136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left="2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Тихвинский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0,4</w:t>
            </w:r>
          </w:p>
        </w:tc>
      </w:tr>
      <w:tr w:rsidR="00607CA7" w:rsidRPr="00715217" w:rsidTr="00B00876">
        <w:trPr>
          <w:trHeight w:val="223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ind w:left="2"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Тосненский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5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51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607CA7" w:rsidRPr="00715217" w:rsidTr="00B00876">
        <w:trPr>
          <w:trHeight w:val="284"/>
        </w:trPr>
        <w:tc>
          <w:tcPr>
            <w:tcW w:w="534" w:type="dxa"/>
            <w:shd w:val="clear" w:color="auto" w:fill="auto"/>
            <w:hideMark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3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53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5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51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19" w:type="dxa"/>
            <w:shd w:val="clear" w:color="auto" w:fill="auto"/>
          </w:tcPr>
          <w:p w:rsidR="00607CA7" w:rsidRPr="00715217" w:rsidRDefault="00607CA7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52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11,9</w:t>
            </w:r>
          </w:p>
        </w:tc>
      </w:tr>
    </w:tbl>
    <w:p w:rsidR="00607CA7" w:rsidRPr="00715217" w:rsidRDefault="00607CA7" w:rsidP="00607CA7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обучающихся, получающих профильное образование за счет сетевого ресурса, составила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753 чел.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где наиболее используется сетевой ресурс в обучении, являются </w:t>
      </w:r>
      <w:proofErr w:type="spell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Волосовский</w:t>
      </w:r>
      <w:proofErr w:type="spellEnd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(178 чел.), </w:t>
      </w:r>
      <w:proofErr w:type="spell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Волховский</w:t>
      </w:r>
      <w:proofErr w:type="spellEnd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(128 чел), Всеволожский (180 чел.), </w:t>
      </w:r>
      <w:proofErr w:type="spell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Кингисеппский</w:t>
      </w:r>
      <w:proofErr w:type="spellEnd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(120 чел)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 мониторинг, при осуществлении сетевого взаимодействия школы сотрудничают с образовательными учреждениями начального, среднего, высшего профессионального образования, а также учреждениями дополнительного образования и другими учреждениями и организациями.</w:t>
      </w:r>
    </w:p>
    <w:p w:rsidR="00607CA7" w:rsidRPr="00CD40B9" w:rsidRDefault="00607CA7" w:rsidP="00607CA7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сетевое взаимодействие осуществляется между школами и ВУЗами. Количество образовательных (кроме школ) и не образовательных организаций, ресурс которых использовался для реализации профильного обучения, представлено на рисунке 4.8.</w:t>
      </w:r>
    </w:p>
    <w:p w:rsidR="00607CA7" w:rsidRPr="00CD40B9" w:rsidRDefault="00607CA7" w:rsidP="00607C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4515" cy="3096260"/>
            <wp:effectExtent l="0" t="0" r="0" b="0"/>
            <wp:docPr id="1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07CA7" w:rsidRPr="00CD40B9" w:rsidRDefault="00607CA7" w:rsidP="00607C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4. Количество организаций, ресурс которых используется для реализации профильного обучения</w:t>
      </w:r>
    </w:p>
    <w:p w:rsidR="00607CA7" w:rsidRPr="00CD40B9" w:rsidRDefault="00607CA7" w:rsidP="00607CA7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численность обучающихся, изучающих учебные предметы на профильном уровне за счет ресурса других образовательных организаций (кроме школ), а также за счет ресурса организаций из не образовательной сферы составляет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525 человек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больше количества в 2017-2018 учебном году (Рисунок 4.9).</w:t>
      </w:r>
    </w:p>
    <w:p w:rsidR="00607CA7" w:rsidRPr="00CD40B9" w:rsidRDefault="00607CA7" w:rsidP="00607C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2595" cy="3290570"/>
            <wp:effectExtent l="0" t="0" r="0" b="0"/>
            <wp:docPr id="2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7CA7" w:rsidRPr="00CD40B9" w:rsidRDefault="00607CA7" w:rsidP="00607C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5. Численность обучающихся, изучающих учебные предметы на профильном уровне за счет ресурса других организаций</w:t>
      </w:r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Доля общеобразовательных организаций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числа общеобразовательных организаций, имеющих классы профильного обучения), осуществляющих профильное обучение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использованием дистанционных технологий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 составляет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25,2%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(57 ед.)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2018-19г. - 27,0% (60 ед.), в 2017-18г. - 19,9% (44 ед.), в 2016-17 г. - 27,3% (51 ед.))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доля обучающихся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профильное образование с использованием дистанционных технологий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22,0%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2018-19 г. - 29,7%,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2017-18 г. - 11,3</w:t>
      </w:r>
      <w:proofErr w:type="gramEnd"/>
      <w:r w:rsidRPr="00CD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2016-17 г. - 14,5%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внимание вопросам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развития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образования с использованием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дистанционных технологий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в </w:t>
      </w:r>
      <w:proofErr w:type="gram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Гатчинском</w:t>
      </w:r>
      <w:proofErr w:type="gramEnd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(1176 чел.), </w:t>
      </w:r>
      <w:proofErr w:type="spell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Волосовским</w:t>
      </w:r>
      <w:proofErr w:type="spellEnd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(178 чел.), </w:t>
      </w:r>
      <w:proofErr w:type="spell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Подпорожском</w:t>
      </w:r>
      <w:proofErr w:type="spellEnd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(197 чел.), Сосновоборском (663 чел.), Ломоносовском (335 чел.) районах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оценкой результативности профильного обучения на старшей ступени общего образования является практика </w:t>
      </w:r>
      <w:proofErr w:type="gramStart"/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обучения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</w:t>
      </w:r>
      <w:proofErr w:type="gram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индивидуальным учебным планам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проведенного мониторинга было установлено, что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общеобразовательных организаций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обучение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индивидуальным учебным планам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 составляет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73 ед.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численность обучающихся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 -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2465 чел.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обучающихся по индивидуальным учебным планам, за счет сетевого ресурса (на муниципальном, региональном уровнях) -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161 чел.,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том числе, обучающихся в дистанционном формате - 19 чел.</w:t>
      </w:r>
      <w:proofErr w:type="gramEnd"/>
    </w:p>
    <w:p w:rsidR="00607CA7" w:rsidRPr="00CD40B9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11 </w:t>
      </w:r>
      <w:proofErr w:type="gramStart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классов,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поступивших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 профессионального образования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профилю</w:t>
      </w: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 старшей ступени общего образования составило</w:t>
      </w:r>
      <w:proofErr w:type="gramEnd"/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1110 чел.</w:t>
      </w:r>
    </w:p>
    <w:p w:rsidR="00607CA7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 профильного обучения в виде численности учащихся в муниципальных районах, обучающихся по индивидуальным учебным планам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представлены на рисунке 4.10.</w:t>
      </w:r>
    </w:p>
    <w:p w:rsidR="00607CA7" w:rsidRPr="00715217" w:rsidRDefault="00607CA7" w:rsidP="00607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1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Ожидаемые результаты мониторингового исследования</w:t>
      </w:r>
    </w:p>
    <w:p w:rsidR="00607CA7" w:rsidRPr="00715217" w:rsidRDefault="00607CA7" w:rsidP="00607CA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старших классах средней школы профильного обучения является одним из важнейших направлений обновления школьного образования. Полученные данные мониторинговых исследований могут свидетельствовать об изменениях и тенденциях в образовательной системе и эффективности введения ФГОС ООО в части реализации профильного обучения в общеобразовательных организациях Ленинградской области.</w:t>
      </w:r>
    </w:p>
    <w:p w:rsidR="00607CA7" w:rsidRPr="00715217" w:rsidRDefault="00607CA7" w:rsidP="00607CA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  <w:shd w:val="clear" w:color="auto" w:fill="FFFFFF"/>
          <w:lang w:eastAsia="ru-RU"/>
        </w:rPr>
      </w:pPr>
      <w:r w:rsidRPr="007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данных, полученных по итогам мониторинга, позволит оценить состояние и организацию профильного обучения и профессионального образования в Ленинградской области, наметить пути повышения эффективности </w:t>
      </w:r>
      <w:proofErr w:type="spellStart"/>
      <w:r w:rsidRPr="007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7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607CA7" w:rsidRPr="00715217" w:rsidRDefault="00607CA7" w:rsidP="00607CA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данных мониторинговых исследований могут быть использованы общеобразовательными организациями, региональными и муниципальными органами управления образованием для анализа текущего состояния и эффективности реализации профильного обучения и профессионального образования в школе, формирования программ и планов сопровождения инновационной деятельности по внедрению ФГОС в старшей школе с целью модернизации системы образования в Ленинградской области.</w:t>
      </w:r>
    </w:p>
    <w:p w:rsidR="00607CA7" w:rsidRPr="00715217" w:rsidRDefault="00607CA7" w:rsidP="00607CA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мониторингового исследования составляется аналитический отчет, который представляются Заказчику и публикуются в открытом доступе в сети Интернет на сайте ГАОУ ДПО «ЛОИРО» в разделе «Научная деятельность» в установленные сроки.</w:t>
      </w:r>
    </w:p>
    <w:p w:rsidR="00607CA7" w:rsidRPr="00715217" w:rsidRDefault="00607CA7" w:rsidP="00607CA7">
      <w:pPr>
        <w:pStyle w:val="a3"/>
        <w:spacing w:line="360" w:lineRule="auto"/>
        <w:rPr>
          <w:b/>
          <w:color w:val="002060"/>
        </w:rPr>
      </w:pPr>
    </w:p>
    <w:p w:rsidR="00160A96" w:rsidRDefault="00160A96"/>
    <w:sectPr w:rsidR="00160A96" w:rsidSect="001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A7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50289A"/>
    <w:rsid w:val="005133E7"/>
    <w:rsid w:val="0051597A"/>
    <w:rsid w:val="005243B9"/>
    <w:rsid w:val="00526F92"/>
    <w:rsid w:val="00527C25"/>
    <w:rsid w:val="00532F3F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07CA7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767F"/>
    <w:rsid w:val="006878BB"/>
    <w:rsid w:val="00694E39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1381F"/>
    <w:rsid w:val="00F2451F"/>
    <w:rsid w:val="00F304ED"/>
    <w:rsid w:val="00F416CD"/>
    <w:rsid w:val="00F5434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образовательные организации (кроме школ)</c:v>
                </c:pt>
              </c:strCache>
            </c:strRef>
          </c:tx>
          <c:dLbls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val>
            <c:numRef>
              <c:f>Лист1!$A$2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организации из необразовательной сферы</c:v>
                </c:pt>
              </c:strCache>
            </c:strRef>
          </c:tx>
          <c:dLbls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всего за 2017 - 2018 г.</c:v>
                </c:pt>
              </c:strCache>
            </c:strRef>
          </c:tx>
          <c:dLbls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всего за 2018 - 2019 г.</c:v>
                </c:pt>
              </c:strCache>
            </c:strRef>
          </c:tx>
          <c:dLbls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val>
            <c:numRef>
              <c:f>Лист1!$D$2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всего за 2019 - 2020 г.</c:v>
                </c:pt>
              </c:strCache>
            </c:strRef>
          </c:tx>
          <c:dLbls>
            <c:showVal val="1"/>
          </c:dLbls>
          <c:val>
            <c:numRef>
              <c:f>Лист1!$E$2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overlap val="-40"/>
        <c:axId val="68301184"/>
        <c:axId val="68302720"/>
      </c:barChart>
      <c:catAx>
        <c:axId val="68301184"/>
        <c:scaling>
          <c:orientation val="minMax"/>
        </c:scaling>
        <c:delete val="1"/>
        <c:axPos val="b"/>
        <c:tickLblPos val="none"/>
        <c:crossAx val="68302720"/>
        <c:crosses val="autoZero"/>
        <c:auto val="1"/>
        <c:lblAlgn val="ctr"/>
        <c:lblOffset val="100"/>
      </c:catAx>
      <c:valAx>
        <c:axId val="6830272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301184"/>
        <c:crosses val="autoZero"/>
        <c:crossBetween val="between"/>
      </c:valAx>
    </c:plotArea>
    <c:legend>
      <c:legendPos val="r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образовательные организации (кроме школ)</c:v>
                </c:pt>
              </c:strCache>
            </c:strRef>
          </c:tx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val>
            <c:numRef>
              <c:f>Лист1!$A$2</c:f>
              <c:numCache>
                <c:formatCode>General</c:formatCode>
                <c:ptCount val="1"/>
                <c:pt idx="0">
                  <c:v>430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организации из необразовательной сферы</c:v>
                </c:pt>
              </c:strCache>
            </c:strRef>
          </c:tx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val>
            <c:numRef>
              <c:f>Лист1!$B$2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всего за 2017 - 2018 г.</c:v>
                </c:pt>
              </c:strCache>
            </c:strRef>
          </c:tx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val>
            <c:numRef>
              <c:f>Лист1!$C$2</c:f>
              <c:numCache>
                <c:formatCode>General</c:formatCode>
                <c:ptCount val="1"/>
                <c:pt idx="0">
                  <c:v>276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всего за 2018 - 2019 г.</c:v>
                </c:pt>
              </c:strCache>
            </c:strRef>
          </c:tx>
          <c:dLbls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val>
            <c:numRef>
              <c:f>Лист1!$D$2</c:f>
              <c:numCache>
                <c:formatCode>General</c:formatCode>
                <c:ptCount val="1"/>
                <c:pt idx="0">
                  <c:v>477</c:v>
                </c:pt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всего за 2019 - 2020 г.</c:v>
                </c:pt>
              </c:strCache>
            </c:strRef>
          </c:tx>
          <c:dLbls>
            <c:showVal val="1"/>
          </c:dLbls>
          <c:val>
            <c:numRef>
              <c:f>Лист1!$E$2</c:f>
              <c:numCache>
                <c:formatCode>General</c:formatCode>
                <c:ptCount val="1"/>
                <c:pt idx="0">
                  <c:v>525</c:v>
                </c:pt>
              </c:numCache>
            </c:numRef>
          </c:val>
        </c:ser>
        <c:overlap val="-40"/>
        <c:axId val="68227072"/>
        <c:axId val="68228608"/>
      </c:barChart>
      <c:catAx>
        <c:axId val="68227072"/>
        <c:scaling>
          <c:orientation val="minMax"/>
        </c:scaling>
        <c:delete val="1"/>
        <c:axPos val="b"/>
        <c:tickLblPos val="none"/>
        <c:crossAx val="68228608"/>
        <c:crosses val="autoZero"/>
        <c:auto val="1"/>
        <c:lblAlgn val="ctr"/>
        <c:lblOffset val="100"/>
      </c:catAx>
      <c:valAx>
        <c:axId val="682286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227072"/>
        <c:crosses val="autoZero"/>
        <c:crossBetween val="between"/>
      </c:valAx>
    </c:plotArea>
    <c:legend>
      <c:legendPos val="r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6955</Characters>
  <Application>Microsoft Office Word</Application>
  <DocSecurity>0</DocSecurity>
  <Lines>57</Lines>
  <Paragraphs>16</Paragraphs>
  <ScaleCrop>false</ScaleCrop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</cp:revision>
  <dcterms:created xsi:type="dcterms:W3CDTF">2020-03-17T11:03:00Z</dcterms:created>
  <dcterms:modified xsi:type="dcterms:W3CDTF">2020-03-17T11:03:00Z</dcterms:modified>
</cp:coreProperties>
</file>