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F3" w:rsidRDefault="00BD52F3">
      <w:pPr>
        <w:pStyle w:val="ConsPlusTitlePage"/>
      </w:pPr>
      <w:r>
        <w:t xml:space="preserve">Документ предоставлен </w:t>
      </w:r>
      <w:hyperlink r:id="rId5" w:history="1">
        <w:r>
          <w:rPr>
            <w:color w:val="0000FF"/>
          </w:rPr>
          <w:t>КонсультантПлюс</w:t>
        </w:r>
      </w:hyperlink>
      <w:r>
        <w:br/>
      </w:r>
    </w:p>
    <w:p w:rsidR="00BD52F3" w:rsidRDefault="00BD52F3">
      <w:pPr>
        <w:pStyle w:val="ConsPlusNormal"/>
        <w:jc w:val="both"/>
        <w:outlineLvl w:val="0"/>
      </w:pPr>
    </w:p>
    <w:p w:rsidR="00BD52F3" w:rsidRDefault="00BD52F3">
      <w:pPr>
        <w:pStyle w:val="ConsPlusTitle"/>
        <w:jc w:val="center"/>
        <w:outlineLvl w:val="0"/>
      </w:pPr>
      <w:r>
        <w:t>МИНИСТЕРСТВО ПРОСВЕЩЕНИЯ РОССИЙСКОЙ ФЕДЕРАЦИИ</w:t>
      </w:r>
    </w:p>
    <w:p w:rsidR="00BD52F3" w:rsidRDefault="00BD52F3">
      <w:pPr>
        <w:pStyle w:val="ConsPlusTitle"/>
        <w:jc w:val="center"/>
      </w:pPr>
    </w:p>
    <w:p w:rsidR="00BD52F3" w:rsidRDefault="00BD52F3">
      <w:pPr>
        <w:pStyle w:val="ConsPlusTitle"/>
        <w:jc w:val="center"/>
      </w:pPr>
      <w:r>
        <w:t>ПИСЬМО</w:t>
      </w:r>
    </w:p>
    <w:p w:rsidR="00BD52F3" w:rsidRDefault="00BD52F3">
      <w:pPr>
        <w:pStyle w:val="ConsPlusTitle"/>
        <w:jc w:val="center"/>
      </w:pPr>
      <w:r>
        <w:t>от 7 сентября 2020 г. N ВБ-1700/08</w:t>
      </w:r>
    </w:p>
    <w:p w:rsidR="00BD52F3" w:rsidRDefault="00BD52F3">
      <w:pPr>
        <w:pStyle w:val="ConsPlusTitle"/>
        <w:jc w:val="center"/>
      </w:pPr>
    </w:p>
    <w:p w:rsidR="00BD52F3" w:rsidRDefault="00BD52F3">
      <w:pPr>
        <w:pStyle w:val="ConsPlusTitle"/>
        <w:jc w:val="center"/>
      </w:pPr>
      <w:r>
        <w:t>О НАПРАВЛЕНИИ ДОПОЛНИТЕЛЬНЫХ РАЗЪЯСНЕНИЙ</w:t>
      </w:r>
    </w:p>
    <w:p w:rsidR="00BD52F3" w:rsidRDefault="00BD52F3">
      <w:pPr>
        <w:pStyle w:val="ConsPlusNormal"/>
        <w:jc w:val="both"/>
      </w:pPr>
    </w:p>
    <w:p w:rsidR="00BD52F3" w:rsidRDefault="00BD52F3">
      <w:pPr>
        <w:pStyle w:val="ConsPlusNormal"/>
        <w:ind w:firstLine="540"/>
        <w:jc w:val="both"/>
      </w:pPr>
      <w:proofErr w:type="gramStart"/>
      <w:r>
        <w:t xml:space="preserve">В связи с поступившими вопросами из органов исполнительной власти, осуществляющих государственное управление в сфере образования в субъектах Российской Федерации, и региональных (межрегиональных) организаций Общероссийского Профсоюза образования, а также прозвучавшими в ходе августовских педагогических совещаний в субъектах Российской Федерации, Минпросвещения России направляет для использования в работе дополнительные </w:t>
      </w:r>
      <w:hyperlink w:anchor="P18" w:history="1">
        <w:r>
          <w:rPr>
            <w:color w:val="0000FF"/>
          </w:rPr>
          <w:t>разъяснения</w:t>
        </w:r>
      </w:hyperlink>
      <w:r>
        <w:t xml:space="preserve"> по применению законодательства Российской Федерации при осуществлении выплаты денежного вознаграждения за классное руководство</w:t>
      </w:r>
      <w:proofErr w:type="gramEnd"/>
      <w:r>
        <w:t xml:space="preserve"> педагогическим работникам общеобразовательных организаций, разработанные совместно с Общероссийским Профсоюзом образования.</w:t>
      </w:r>
    </w:p>
    <w:p w:rsidR="00BD52F3" w:rsidRDefault="00BD52F3">
      <w:pPr>
        <w:pStyle w:val="ConsPlusNormal"/>
        <w:jc w:val="both"/>
      </w:pPr>
    </w:p>
    <w:p w:rsidR="00BD52F3" w:rsidRDefault="00BD52F3">
      <w:pPr>
        <w:pStyle w:val="ConsPlusNormal"/>
        <w:jc w:val="right"/>
      </w:pPr>
      <w:r>
        <w:t>В.С.БАСЮК</w:t>
      </w:r>
    </w:p>
    <w:p w:rsidR="00BD52F3" w:rsidRDefault="00BD52F3">
      <w:pPr>
        <w:pStyle w:val="ConsPlusNormal"/>
        <w:jc w:val="both"/>
      </w:pPr>
    </w:p>
    <w:p w:rsidR="00BD52F3" w:rsidRDefault="00BD52F3">
      <w:pPr>
        <w:pStyle w:val="ConsPlusNormal"/>
        <w:jc w:val="both"/>
      </w:pPr>
    </w:p>
    <w:p w:rsidR="00BD52F3" w:rsidRDefault="00BD52F3">
      <w:pPr>
        <w:pStyle w:val="ConsPlusNormal"/>
        <w:jc w:val="both"/>
      </w:pPr>
    </w:p>
    <w:p w:rsidR="00BD52F3" w:rsidRDefault="00BD52F3">
      <w:pPr>
        <w:pStyle w:val="ConsPlusNormal"/>
        <w:jc w:val="both"/>
      </w:pPr>
    </w:p>
    <w:p w:rsidR="00BD52F3" w:rsidRDefault="00BD52F3">
      <w:pPr>
        <w:pStyle w:val="ConsPlusNormal"/>
        <w:jc w:val="both"/>
      </w:pPr>
    </w:p>
    <w:p w:rsidR="00BD52F3" w:rsidRDefault="00BD52F3">
      <w:pPr>
        <w:pStyle w:val="ConsPlusNormal"/>
        <w:jc w:val="right"/>
        <w:outlineLvl w:val="0"/>
      </w:pPr>
      <w:r>
        <w:t>Приложение</w:t>
      </w:r>
    </w:p>
    <w:p w:rsidR="00BD52F3" w:rsidRDefault="00BD52F3">
      <w:pPr>
        <w:pStyle w:val="ConsPlusNormal"/>
        <w:jc w:val="both"/>
      </w:pPr>
    </w:p>
    <w:p w:rsidR="00BD52F3" w:rsidRDefault="00BD52F3">
      <w:pPr>
        <w:pStyle w:val="ConsPlusTitle"/>
        <w:jc w:val="center"/>
      </w:pPr>
      <w:bookmarkStart w:id="0" w:name="P18"/>
      <w:bookmarkEnd w:id="0"/>
      <w:r>
        <w:t>ДОПОЛНИТЕЛЬНЫЕ РАЗЪЯСНЕНИЯ</w:t>
      </w:r>
    </w:p>
    <w:p w:rsidR="00BD52F3" w:rsidRDefault="00BD52F3">
      <w:pPr>
        <w:pStyle w:val="ConsPlusTitle"/>
        <w:jc w:val="center"/>
      </w:pPr>
      <w:r>
        <w:t>ПО ПРИМЕНЕНИЮ ЗАКОНОДАТЕЛЬСТВА РОССИЙСКОЙ ФЕДЕРАЦИИ</w:t>
      </w:r>
    </w:p>
    <w:p w:rsidR="00BD52F3" w:rsidRDefault="00BD52F3">
      <w:pPr>
        <w:pStyle w:val="ConsPlusTitle"/>
        <w:jc w:val="center"/>
      </w:pPr>
      <w:r>
        <w:t>ПРИ ОСУЩЕСТВЛЕНИИ ВЫПЛАТЫ ДЕНЕЖНОГО ВОЗНАГРАЖДЕНИЯ</w:t>
      </w:r>
    </w:p>
    <w:p w:rsidR="00BD52F3" w:rsidRDefault="00BD52F3">
      <w:pPr>
        <w:pStyle w:val="ConsPlusTitle"/>
        <w:jc w:val="center"/>
      </w:pPr>
      <w:r>
        <w:t>ЗА КЛАССНОЕ РУКОВОДСТВО ПЕДАГОГИЧЕСКИМ РАБОТНИКАМ</w:t>
      </w:r>
    </w:p>
    <w:p w:rsidR="00BD52F3" w:rsidRDefault="00BD52F3">
      <w:pPr>
        <w:pStyle w:val="ConsPlusTitle"/>
        <w:jc w:val="center"/>
      </w:pPr>
      <w:r>
        <w:t>ОБЩЕОБРАЗОВАТЕЛЬНЫХ ОРГАНИЗАЦИЙ</w:t>
      </w:r>
    </w:p>
    <w:p w:rsidR="00BD52F3" w:rsidRDefault="00BD52F3">
      <w:pPr>
        <w:pStyle w:val="ConsPlusNormal"/>
        <w:jc w:val="both"/>
      </w:pPr>
    </w:p>
    <w:p w:rsidR="00BD52F3" w:rsidRDefault="00BD52F3">
      <w:pPr>
        <w:pStyle w:val="ConsPlusNormal"/>
        <w:ind w:firstLine="540"/>
        <w:jc w:val="both"/>
      </w:pPr>
      <w:proofErr w:type="gramStart"/>
      <w:r>
        <w:t xml:space="preserve">Настоящие разъяснения разработаны в дополнение к направленным ранее разъяснениям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направленным руководителям органов исполнительной власти субъектов Российской Федерации, осуществляющих государственное управление в сфере образования, </w:t>
      </w:r>
      <w:hyperlink r:id="rId6" w:history="1">
        <w:r>
          <w:rPr>
            <w:color w:val="0000FF"/>
          </w:rPr>
          <w:t>письмом</w:t>
        </w:r>
      </w:hyperlink>
      <w:r>
        <w:t xml:space="preserve"> от 28 мая 2020 г. N ВБ-1159/08 (далее - Разъяснения от 28 мая 2020 г.).</w:t>
      </w:r>
      <w:proofErr w:type="gramEnd"/>
    </w:p>
    <w:p w:rsidR="00BD52F3" w:rsidRDefault="00BD52F3">
      <w:pPr>
        <w:pStyle w:val="ConsPlusNormal"/>
        <w:spacing w:before="220"/>
        <w:ind w:firstLine="540"/>
        <w:jc w:val="both"/>
      </w:pPr>
      <w:bookmarkStart w:id="1" w:name="P25"/>
      <w:bookmarkEnd w:id="1"/>
      <w:r>
        <w:t>1. Ежемесячное денежное вознаграждение за классное руководство в размере 5000 рублей (далее - денежное вознаграждение) выплачивается педагогическим работникам за каждый класс (класс-комплект) независимо от количества обучающихся в классе (классе-комплекте).</w:t>
      </w:r>
    </w:p>
    <w:p w:rsidR="00BD52F3" w:rsidRDefault="00BD52F3">
      <w:pPr>
        <w:pStyle w:val="ConsPlusNormal"/>
        <w:spacing w:before="220"/>
        <w:ind w:firstLine="540"/>
        <w:jc w:val="both"/>
      </w:pPr>
      <w:proofErr w:type="gramStart"/>
      <w:r>
        <w:t xml:space="preserve">Класс-комплект, который в целях выплаты денежного вознаграждения принимается за один класс, может формироваться из обучающихся I - IV классов в порядке, предусмотренном </w:t>
      </w:r>
      <w:hyperlink r:id="rId7" w:history="1">
        <w:r>
          <w:rPr>
            <w:color w:val="0000FF"/>
          </w:rPr>
          <w:t>пунктом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 N 189 (далее - Постановление N 189, СанПиН 2.4.2.2821-10).</w:t>
      </w:r>
      <w:proofErr w:type="gramEnd"/>
    </w:p>
    <w:p w:rsidR="00BD52F3" w:rsidRDefault="00BD52F3">
      <w:pPr>
        <w:pStyle w:val="ConsPlusNormal"/>
        <w:spacing w:before="220"/>
        <w:ind w:firstLine="540"/>
        <w:jc w:val="both"/>
      </w:pPr>
      <w:proofErr w:type="gramStart"/>
      <w:r>
        <w:t xml:space="preserve">Так, в малокомплектных сельских организациях, осуществляющих образовательную деятельность, в зависимости от конкретных условий, числа обучающихся, их возрастных </w:t>
      </w:r>
      <w:r>
        <w:lastRenderedPageBreak/>
        <w:t>особенностей допускается формирование классов-комплектов из обучающихся начального общего образования.</w:t>
      </w:r>
      <w:proofErr w:type="gramEnd"/>
      <w:r>
        <w:t xml:space="preserve"> Оптимальным при этом является раздельное обучение </w:t>
      </w:r>
      <w:proofErr w:type="gramStart"/>
      <w:r>
        <w:t>обучающихся</w:t>
      </w:r>
      <w:proofErr w:type="gramEnd"/>
      <w:r>
        <w:t xml:space="preserve"> начального общего образования разного возраста.</w:t>
      </w:r>
    </w:p>
    <w:p w:rsidR="00BD52F3" w:rsidRDefault="00BD52F3">
      <w:pPr>
        <w:pStyle w:val="ConsPlusNormal"/>
        <w:spacing w:before="220"/>
        <w:ind w:firstLine="540"/>
        <w:jc w:val="both"/>
      </w:pPr>
      <w:r>
        <w:t>При объединении обучающихся начального общего образования в класс-комплект оптимальным является создание его из двух классов: 1 и 3 классов (1 + 3), 2 и 3 классов (2 + 3), 2 и 4 классов (2 + 4). Для предупреждения утомления обучающихся необходимо сокращать продолжительность совмещенных (особенно 4-х и 5-х) уроков на 5 - 10 мин. (кроме урока физической культуры). Наполняемость классов-комплектов должна соответствовать таблице 1.</w:t>
      </w:r>
    </w:p>
    <w:p w:rsidR="00BD52F3" w:rsidRDefault="00BD52F3">
      <w:pPr>
        <w:pStyle w:val="ConsPlusNormal"/>
        <w:jc w:val="both"/>
      </w:pPr>
    </w:p>
    <w:p w:rsidR="00BD52F3" w:rsidRDefault="00BD52F3">
      <w:pPr>
        <w:pStyle w:val="ConsPlusNormal"/>
        <w:jc w:val="right"/>
        <w:outlineLvl w:val="1"/>
      </w:pPr>
      <w:r>
        <w:t>Таблица 1</w:t>
      </w:r>
    </w:p>
    <w:p w:rsidR="00BD52F3" w:rsidRDefault="00BD52F3">
      <w:pPr>
        <w:pStyle w:val="ConsPlusNormal"/>
        <w:jc w:val="both"/>
      </w:pPr>
    </w:p>
    <w:p w:rsidR="00BD52F3" w:rsidRDefault="00BD52F3">
      <w:pPr>
        <w:pStyle w:val="ConsPlusTitle"/>
        <w:jc w:val="center"/>
      </w:pPr>
      <w:bookmarkStart w:id="2" w:name="P32"/>
      <w:bookmarkEnd w:id="2"/>
      <w:r>
        <w:t>Наполняемость классов-комплектов</w:t>
      </w:r>
    </w:p>
    <w:p w:rsidR="00BD52F3" w:rsidRDefault="00BD52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2"/>
        <w:gridCol w:w="4512"/>
      </w:tblGrid>
      <w:tr w:rsidR="00BD52F3">
        <w:tc>
          <w:tcPr>
            <w:tcW w:w="4512" w:type="dxa"/>
          </w:tcPr>
          <w:p w:rsidR="00BD52F3" w:rsidRDefault="00BD52F3">
            <w:pPr>
              <w:pStyle w:val="ConsPlusNormal"/>
              <w:jc w:val="center"/>
            </w:pPr>
            <w:r>
              <w:t>Классы, объединяемые в класс-комплект</w:t>
            </w:r>
          </w:p>
        </w:tc>
        <w:tc>
          <w:tcPr>
            <w:tcW w:w="4512" w:type="dxa"/>
          </w:tcPr>
          <w:p w:rsidR="00BD52F3" w:rsidRDefault="00BD52F3">
            <w:pPr>
              <w:pStyle w:val="ConsPlusNormal"/>
              <w:jc w:val="center"/>
            </w:pPr>
            <w:r>
              <w:t>Количество обучающихся в классе-комплекте, человек</w:t>
            </w:r>
          </w:p>
        </w:tc>
      </w:tr>
      <w:tr w:rsidR="00BD52F3">
        <w:tc>
          <w:tcPr>
            <w:tcW w:w="4512" w:type="dxa"/>
          </w:tcPr>
          <w:p w:rsidR="00BD52F3" w:rsidRDefault="00BD52F3">
            <w:pPr>
              <w:pStyle w:val="ConsPlusNormal"/>
            </w:pPr>
            <w:r>
              <w:t>1 + 3</w:t>
            </w:r>
          </w:p>
        </w:tc>
        <w:tc>
          <w:tcPr>
            <w:tcW w:w="4512" w:type="dxa"/>
            <w:vAlign w:val="center"/>
          </w:tcPr>
          <w:p w:rsidR="00BD52F3" w:rsidRDefault="00BD52F3">
            <w:pPr>
              <w:pStyle w:val="ConsPlusNormal"/>
            </w:pPr>
            <w:r>
              <w:t>8 - 10</w:t>
            </w:r>
          </w:p>
        </w:tc>
      </w:tr>
      <w:tr w:rsidR="00BD52F3">
        <w:tc>
          <w:tcPr>
            <w:tcW w:w="4512" w:type="dxa"/>
          </w:tcPr>
          <w:p w:rsidR="00BD52F3" w:rsidRDefault="00BD52F3">
            <w:pPr>
              <w:pStyle w:val="ConsPlusNormal"/>
            </w:pPr>
            <w:r>
              <w:t>1 + 2</w:t>
            </w:r>
          </w:p>
        </w:tc>
        <w:tc>
          <w:tcPr>
            <w:tcW w:w="4512" w:type="dxa"/>
          </w:tcPr>
          <w:p w:rsidR="00BD52F3" w:rsidRDefault="00BD52F3">
            <w:pPr>
              <w:pStyle w:val="ConsPlusNormal"/>
            </w:pPr>
            <w:r>
              <w:t>8 - 10</w:t>
            </w:r>
          </w:p>
        </w:tc>
      </w:tr>
      <w:tr w:rsidR="00BD52F3">
        <w:tc>
          <w:tcPr>
            <w:tcW w:w="4512" w:type="dxa"/>
          </w:tcPr>
          <w:p w:rsidR="00BD52F3" w:rsidRDefault="00BD52F3">
            <w:pPr>
              <w:pStyle w:val="ConsPlusNormal"/>
            </w:pPr>
            <w:r>
              <w:t>1 + 4</w:t>
            </w:r>
          </w:p>
        </w:tc>
        <w:tc>
          <w:tcPr>
            <w:tcW w:w="4512" w:type="dxa"/>
            <w:vAlign w:val="center"/>
          </w:tcPr>
          <w:p w:rsidR="00BD52F3" w:rsidRDefault="00BD52F3">
            <w:pPr>
              <w:pStyle w:val="ConsPlusNormal"/>
            </w:pPr>
            <w:r>
              <w:t>8 - 10</w:t>
            </w:r>
          </w:p>
        </w:tc>
      </w:tr>
      <w:tr w:rsidR="00BD52F3">
        <w:tc>
          <w:tcPr>
            <w:tcW w:w="4512" w:type="dxa"/>
          </w:tcPr>
          <w:p w:rsidR="00BD52F3" w:rsidRDefault="00BD52F3">
            <w:pPr>
              <w:pStyle w:val="ConsPlusNormal"/>
            </w:pPr>
            <w:r>
              <w:t>2 + 3</w:t>
            </w:r>
          </w:p>
        </w:tc>
        <w:tc>
          <w:tcPr>
            <w:tcW w:w="4512" w:type="dxa"/>
          </w:tcPr>
          <w:p w:rsidR="00BD52F3" w:rsidRDefault="00BD52F3">
            <w:pPr>
              <w:pStyle w:val="ConsPlusNormal"/>
            </w:pPr>
            <w:r>
              <w:t>10 - 12</w:t>
            </w:r>
          </w:p>
        </w:tc>
      </w:tr>
      <w:tr w:rsidR="00BD52F3">
        <w:tc>
          <w:tcPr>
            <w:tcW w:w="4512" w:type="dxa"/>
          </w:tcPr>
          <w:p w:rsidR="00BD52F3" w:rsidRDefault="00BD52F3">
            <w:pPr>
              <w:pStyle w:val="ConsPlusNormal"/>
            </w:pPr>
            <w:r>
              <w:t>2 + 4</w:t>
            </w:r>
          </w:p>
        </w:tc>
        <w:tc>
          <w:tcPr>
            <w:tcW w:w="4512" w:type="dxa"/>
          </w:tcPr>
          <w:p w:rsidR="00BD52F3" w:rsidRDefault="00BD52F3">
            <w:pPr>
              <w:pStyle w:val="ConsPlusNormal"/>
            </w:pPr>
            <w:r>
              <w:t>10 - 15</w:t>
            </w:r>
          </w:p>
        </w:tc>
      </w:tr>
      <w:tr w:rsidR="00BD52F3">
        <w:tc>
          <w:tcPr>
            <w:tcW w:w="4512" w:type="dxa"/>
          </w:tcPr>
          <w:p w:rsidR="00BD52F3" w:rsidRDefault="00BD52F3">
            <w:pPr>
              <w:pStyle w:val="ConsPlusNormal"/>
            </w:pPr>
            <w:r>
              <w:t>3 + 4</w:t>
            </w:r>
          </w:p>
        </w:tc>
        <w:tc>
          <w:tcPr>
            <w:tcW w:w="4512" w:type="dxa"/>
          </w:tcPr>
          <w:p w:rsidR="00BD52F3" w:rsidRDefault="00BD52F3">
            <w:pPr>
              <w:pStyle w:val="ConsPlusNormal"/>
            </w:pPr>
            <w:r>
              <w:t>10 - 15</w:t>
            </w:r>
          </w:p>
        </w:tc>
      </w:tr>
    </w:tbl>
    <w:p w:rsidR="00BD52F3" w:rsidRDefault="00BD52F3">
      <w:pPr>
        <w:pStyle w:val="ConsPlusNormal"/>
        <w:jc w:val="both"/>
      </w:pPr>
    </w:p>
    <w:p w:rsidR="00BD52F3" w:rsidRDefault="00BD52F3">
      <w:pPr>
        <w:pStyle w:val="ConsPlusNormal"/>
        <w:ind w:firstLine="540"/>
        <w:jc w:val="both"/>
      </w:pPr>
      <w:r>
        <w:t xml:space="preserve">В </w:t>
      </w:r>
      <w:hyperlink w:anchor="P32" w:history="1">
        <w:r>
          <w:rPr>
            <w:color w:val="0000FF"/>
          </w:rPr>
          <w:t>таблице 1</w:t>
        </w:r>
      </w:hyperlink>
      <w:r>
        <w:t xml:space="preserve"> указана предельная наполняемость класса-комплекта. В зависимости от конкретных условий и </w:t>
      </w:r>
      <w:proofErr w:type="gramStart"/>
      <w:r>
        <w:t>количества</w:t>
      </w:r>
      <w:proofErr w:type="gramEnd"/>
      <w:r>
        <w:t xml:space="preserve"> обучающихся классы-комплекты в составе 2 классов чаще всего формируются при меньшей наполняемости.</w:t>
      </w:r>
    </w:p>
    <w:p w:rsidR="00BD52F3" w:rsidRDefault="00BD52F3">
      <w:pPr>
        <w:pStyle w:val="ConsPlusNormal"/>
        <w:spacing w:before="220"/>
        <w:ind w:firstLine="540"/>
        <w:jc w:val="both"/>
      </w:pPr>
      <w:r>
        <w:t xml:space="preserve">2. </w:t>
      </w:r>
      <w:proofErr w:type="gramStart"/>
      <w:r>
        <w:t>Повторно отмечаем важность принятия решения на уровне субъекта Российской Федерации о синхронизации порядка выплаты за классное руководство, производимой из бюджета субъекта Российской Федерации, с порядком выплаты денежного вознаграждения из федерального бюджета, имея в виду, что выплата из регионального бюджета также, как и денежное вознаграждение из федерального бюджета, должна иметь фиксированный размер, не зависящий от количества обучающихся в классе (классе-комплекте).</w:t>
      </w:r>
      <w:proofErr w:type="gramEnd"/>
    </w:p>
    <w:p w:rsidR="00BD52F3" w:rsidRDefault="00BD52F3">
      <w:pPr>
        <w:pStyle w:val="ConsPlusNormal"/>
        <w:spacing w:before="220"/>
        <w:ind w:firstLine="540"/>
        <w:jc w:val="both"/>
      </w:pPr>
      <w:r>
        <w:t xml:space="preserve">3. При введении выплаты денежного вознаграждения из федерального бюджета не допускается ухудшение ранее установленных условий оплаты труда, снижение размеров индексации заработной платы, отмена либо уменьшение размеров надбавок, коэффициентов, стимулирующих выплат, установленных педагогическим работникам из региональных (муниципальных) бюджетов. </w:t>
      </w:r>
      <w:proofErr w:type="gramStart"/>
      <w:r>
        <w:t xml:space="preserve">В том числе не должно допускаться уменьшение размера денежного вознаграждения в малокомплектных сельских общеобразовательных организациях, в каждом классе которых может обучаться менее 10 обучающихся, а также объединение двух и более классов с малой наполняемостью (за исключением объединения I - IV классов в класс-комплект в порядке, указанном в </w:t>
      </w:r>
      <w:hyperlink w:anchor="P25" w:history="1">
        <w:r>
          <w:rPr>
            <w:color w:val="0000FF"/>
          </w:rPr>
          <w:t>пункте 1</w:t>
        </w:r>
      </w:hyperlink>
      <w:r>
        <w:t xml:space="preserve"> настоящих разъяснений) с целью установления одной выплаты денежного вознаграждения как за один</w:t>
      </w:r>
      <w:proofErr w:type="gramEnd"/>
      <w:r>
        <w:t xml:space="preserve"> класс.</w:t>
      </w:r>
    </w:p>
    <w:p w:rsidR="00BD52F3" w:rsidRDefault="00BD52F3">
      <w:pPr>
        <w:pStyle w:val="ConsPlusNormal"/>
        <w:spacing w:before="220"/>
        <w:ind w:firstLine="540"/>
        <w:jc w:val="both"/>
      </w:pPr>
      <w:r>
        <w:t xml:space="preserve">4. </w:t>
      </w:r>
      <w:proofErr w:type="gramStart"/>
      <w:r>
        <w:t xml:space="preserve">Согласно </w:t>
      </w:r>
      <w:hyperlink r:id="rId8" w:history="1">
        <w:r>
          <w:rPr>
            <w:color w:val="0000FF"/>
          </w:rPr>
          <w:t>пункту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утвержденных </w:t>
      </w:r>
      <w:hyperlink r:id="rId9" w:history="1">
        <w:r>
          <w:rPr>
            <w:color w:val="0000FF"/>
          </w:rPr>
          <w:t>постановлением</w:t>
        </w:r>
      </w:hyperlink>
      <w:r>
        <w:t xml:space="preserve"> Правительства Российской Федерации от 4 апреля 2020 г. N 448, </w:t>
      </w:r>
      <w:r>
        <w:lastRenderedPageBreak/>
        <w:t>субъектам Российской Федерации, в которых оплата труда работников на работах в местностях с особыми климатическими условиями осуществляется с учетом районных коэффициентов, межбюджетные</w:t>
      </w:r>
      <w:proofErr w:type="gramEnd"/>
      <w:r>
        <w:t xml:space="preserve"> </w:t>
      </w:r>
      <w:proofErr w:type="gramStart"/>
      <w:r>
        <w:t>трансферты в целях софинансирования в полном объеме расходных обязательств субъектов Российской Федерации,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предоставляются с учетом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w:t>
      </w:r>
      <w:proofErr w:type="gramEnd"/>
      <w:r>
        <w:t xml:space="preserve"> к ним </w:t>
      </w:r>
      <w:proofErr w:type="gramStart"/>
      <w:r>
        <w:t>местностях</w:t>
      </w:r>
      <w:proofErr w:type="gramEnd"/>
      <w:r>
        <w:t>, высокогорных, пустынных, безводных и других районах (местностях) с особыми климатическими условиями.</w:t>
      </w:r>
    </w:p>
    <w:p w:rsidR="00BD52F3" w:rsidRDefault="00BD52F3">
      <w:pPr>
        <w:pStyle w:val="ConsPlusNormal"/>
        <w:spacing w:before="220"/>
        <w:ind w:firstLine="540"/>
        <w:jc w:val="both"/>
      </w:pPr>
      <w:proofErr w:type="gramStart"/>
      <w:r>
        <w:t>Из этого следует, что если в местностях с особыми климатическими условиями для расчета заработной платы работников, включающей ежемесячное денежное вознаграждение за классное руководство, применяются районные коэффициенты, превышающие размеры, установленные Правительством Российской Федерации или органами государственной власти бывшего Союза ССР, то дополнительные расходы в связи с имеющейся разницей в размерах коэффициентов должны осуществляться за счет бюджета субъекта Российской Федерации, а отчетность</w:t>
      </w:r>
      <w:proofErr w:type="gramEnd"/>
      <w:r>
        <w:t xml:space="preserve"> о расходах бюджетов субъектов Российской Федерации и достижении значения результата предоставления иного межбюджетного трансферта, установленного соглашением с Минпросвещения России, должна предоставляться с учетом применения размеров районных коэффициентов, установленных Правительством Российской Федерации или органами государственной власти СССР.</w:t>
      </w:r>
    </w:p>
    <w:p w:rsidR="00BD52F3" w:rsidRDefault="00BD52F3">
      <w:pPr>
        <w:pStyle w:val="ConsPlusNormal"/>
        <w:spacing w:before="220"/>
        <w:ind w:firstLine="540"/>
        <w:jc w:val="both"/>
      </w:pPr>
      <w:r>
        <w:t>Ответственность за достоверность представляемых в Минпросвещения России информации и документов, предусмотренных Правилами предоставления межбюджетных трансфертов, возлагается на высший исполнительный орган государственной власти субъекта Российской Федерации.</w:t>
      </w:r>
    </w:p>
    <w:p w:rsidR="00BD52F3" w:rsidRDefault="00BD52F3">
      <w:pPr>
        <w:pStyle w:val="ConsPlusNormal"/>
        <w:spacing w:before="220"/>
        <w:ind w:firstLine="540"/>
        <w:jc w:val="both"/>
      </w:pPr>
      <w:r>
        <w:t xml:space="preserve">5. Повторно информируем, что согласно </w:t>
      </w:r>
      <w:hyperlink r:id="rId10" w:history="1">
        <w:r>
          <w:rPr>
            <w:color w:val="0000FF"/>
          </w:rPr>
          <w:t>пункту 6</w:t>
        </w:r>
      </w:hyperlink>
      <w:r>
        <w:t xml:space="preserve"> Разъяснений от 28 мая 2020 г. денежное вознаграждение является составной частью заработной платы педагогического работника и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BD52F3" w:rsidRDefault="00BD52F3">
      <w:pPr>
        <w:pStyle w:val="ConsPlusNormal"/>
        <w:spacing w:before="220"/>
        <w:ind w:firstLine="540"/>
        <w:jc w:val="both"/>
      </w:pPr>
      <w:r>
        <w:t xml:space="preserve">6. </w:t>
      </w:r>
      <w:proofErr w:type="gramStart"/>
      <w:r>
        <w:t xml:space="preserve">Расчет средней заработной платы по отдельной категории работников по субъекту Российской Федерации производится в соответствии с </w:t>
      </w:r>
      <w:hyperlink r:id="rId11" w:history="1">
        <w:r>
          <w:rPr>
            <w:color w:val="0000FF"/>
          </w:rPr>
          <w:t>Методикой</w:t>
        </w:r>
      </w:hyperlink>
      <w:r>
        <w:t xml:space="preserve">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12" w:history="1">
        <w:r>
          <w:rPr>
            <w:color w:val="0000FF"/>
          </w:rPr>
          <w:t>N 597</w:t>
        </w:r>
      </w:hyperlink>
      <w:r>
        <w:t xml:space="preserve"> "О мероприятиях по реализации государственной социальной политики" и от 1 июня 2012 г. </w:t>
      </w:r>
      <w:hyperlink r:id="rId13" w:history="1">
        <w:r>
          <w:rPr>
            <w:color w:val="0000FF"/>
          </w:rPr>
          <w:t>N 761</w:t>
        </w:r>
      </w:hyperlink>
      <w:r>
        <w:t xml:space="preserve"> "О национальной стратегии действий в интересах детей</w:t>
      </w:r>
      <w:proofErr w:type="gramEnd"/>
      <w:r>
        <w:t xml:space="preserve"> </w:t>
      </w:r>
      <w:proofErr w:type="gramStart"/>
      <w:r>
        <w:t>на 2012 - 2017 годы", по отношению к средней заработной плате в соответствующем субъекте Российской Федерации (утверждена распоряжением Правительства Российской Федерации от 26 ноября 2012 г. N 2190-р (в ред. постановления Правительства Российской Федерации от 14 сентября 2015 г. N 973).</w:t>
      </w:r>
      <w:proofErr w:type="gramEnd"/>
    </w:p>
    <w:p w:rsidR="00BD52F3" w:rsidRDefault="00BD52F3">
      <w:pPr>
        <w:pStyle w:val="ConsPlusNormal"/>
        <w:spacing w:before="220"/>
        <w:ind w:firstLine="540"/>
        <w:jc w:val="both"/>
      </w:pPr>
      <w:r>
        <w:t>Выплата денежного вознаграждения, осуществляемая за счет средств федерального бюджета, учитывается при расчете средней заработной платы по отдельной категории работников в субъекте Российской Федерации и может привести к ее увеличению.</w:t>
      </w:r>
    </w:p>
    <w:p w:rsidR="00BD52F3" w:rsidRDefault="00BD52F3">
      <w:pPr>
        <w:pStyle w:val="ConsPlusNormal"/>
        <w:spacing w:before="220"/>
        <w:ind w:firstLine="540"/>
        <w:jc w:val="both"/>
      </w:pPr>
      <w:hyperlink r:id="rId14" w:history="1">
        <w:proofErr w:type="gramStart"/>
        <w:r>
          <w:rPr>
            <w:color w:val="0000FF"/>
          </w:rPr>
          <w:t>Пунктом 1</w:t>
        </w:r>
      </w:hyperlink>
      <w:r>
        <w:t xml:space="preserve"> Разъяснений от 28 мая 2020 г. предусмотрено, что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не являются основанием для корректировки межбюджетных отношений в случае превышения в субъектах Российской Федерации целевого показателя повышения уровня средней заработной платы педагогических работников общеобразовательных организаций, установленного указами Президента Российской Федерации от 2012</w:t>
      </w:r>
      <w:proofErr w:type="gramEnd"/>
      <w:r>
        <w:t xml:space="preserve"> года, фактическими размерами средней заработной платы этих работников.</w:t>
      </w:r>
    </w:p>
    <w:p w:rsidR="00BD52F3" w:rsidRDefault="00BD52F3">
      <w:pPr>
        <w:pStyle w:val="ConsPlusNormal"/>
        <w:spacing w:before="220"/>
        <w:ind w:firstLine="540"/>
        <w:jc w:val="both"/>
      </w:pPr>
      <w:r>
        <w:lastRenderedPageBreak/>
        <w:t xml:space="preserve">7. </w:t>
      </w:r>
      <w:proofErr w:type="gramStart"/>
      <w:r>
        <w:t xml:space="preserve">Минпросвещения России </w:t>
      </w:r>
      <w:hyperlink r:id="rId15" w:history="1">
        <w:r>
          <w:rPr>
            <w:color w:val="0000FF"/>
          </w:rPr>
          <w:t>письмом</w:t>
        </w:r>
      </w:hyperlink>
      <w:r>
        <w:t xml:space="preserve"> от 21 августа 2020 г. N ВБ-1625/08 (далее - письмо N ВБ-1625/08) предложило руководителям высших исполнительных органов государственной власти субъектов Российской Федерации организовать раздельное начисление и выплату денежного вознаграждения за классное руководство получателям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t>, в том числе адаптированные основные общеобразовательные программы).</w:t>
      </w:r>
    </w:p>
    <w:p w:rsidR="00BD52F3" w:rsidRDefault="00BD52F3">
      <w:pPr>
        <w:pStyle w:val="ConsPlusNormal"/>
        <w:spacing w:before="220"/>
        <w:ind w:firstLine="540"/>
        <w:jc w:val="both"/>
      </w:pPr>
      <w:proofErr w:type="gramStart"/>
      <w:r>
        <w:t xml:space="preserve">В связи с поставленной задачей обеспечить контроль за полным и своевременным доведением этой федеральной выплаты, имеющей высокую социальную значимость, до ее получателей, обращаем особое внимание на необходимость различать установленный порядок учета выплаты денежного вознаграждения при расчете средней заработной платы педагогических работников и предусмотренный </w:t>
      </w:r>
      <w:hyperlink r:id="rId16" w:history="1">
        <w:r>
          <w:rPr>
            <w:color w:val="0000FF"/>
          </w:rPr>
          <w:t>письмом</w:t>
        </w:r>
      </w:hyperlink>
      <w:r>
        <w:t xml:space="preserve"> N ВБ-1625/08 (и соответствующими рекомендациями) раздельный учет расходов на ежемесячное денежное вознаграждение педагогических работников за</w:t>
      </w:r>
      <w:proofErr w:type="gramEnd"/>
      <w:r>
        <w:t xml:space="preserve"> классное руководство по кодам вида финансового обеспечения деятельности государственных (муниципальных) образовательных организаций с учетом различных форм собственности и источников финансирования.</w:t>
      </w:r>
    </w:p>
    <w:p w:rsidR="00BD52F3" w:rsidRDefault="00BD52F3">
      <w:pPr>
        <w:pStyle w:val="ConsPlusNormal"/>
        <w:spacing w:before="220"/>
        <w:ind w:firstLine="540"/>
        <w:jc w:val="both"/>
      </w:pPr>
      <w:proofErr w:type="gramStart"/>
      <w:r>
        <w:t xml:space="preserve">Согласно рекомендациям, направленным </w:t>
      </w:r>
      <w:hyperlink r:id="rId17" w:history="1">
        <w:r>
          <w:rPr>
            <w:color w:val="0000FF"/>
          </w:rPr>
          <w:t>письмом</w:t>
        </w:r>
      </w:hyperlink>
      <w:r>
        <w:t xml:space="preserve"> ВБ-1625/08, программное обеспечение, в котором осуществляется начисление заработной платы педагогическим работникам образовательной организации, должно быть настроено таким образом, чтобы начисление ежемесячного денежного вознаграждения за классное руководство за счет средств федерального бюджета формировалось в отдельную ведомость для выплаты педагогическим работникам с учетом районных коэффициентов к заработной плате, установленных решениями органов государственной власти СССР или федеральных органов</w:t>
      </w:r>
      <w:proofErr w:type="gramEnd"/>
      <w:r>
        <w:t xml:space="preserve"> </w:t>
      </w:r>
      <w:proofErr w:type="gramStart"/>
      <w:r>
        <w:t>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особыми климатическими условиями и процентной надбавки к заработной плате за стаж работы в районах Крайнего Севера и приравненных к ним местностях, а также за работу в других районах (местностях) с особыми климатическими условиями, уплаты страховых взносов во внебюджетные фонды</w:t>
      </w:r>
      <w:proofErr w:type="gramEnd"/>
      <w:r>
        <w:t xml:space="preserve">, с </w:t>
      </w:r>
      <w:proofErr w:type="gramStart"/>
      <w:r>
        <w:t>учетом</w:t>
      </w:r>
      <w:proofErr w:type="gramEnd"/>
      <w:r>
        <w:t xml:space="preserve"> которых иные межбюджетные трансферты предоставляются в целях софинансирования в полном объеме расходных обязательств субъектов Российской Федерации, возникающих при осуществлении выплат ежемесячного денежного вознаграждения за классное руководство.</w:t>
      </w:r>
    </w:p>
    <w:p w:rsidR="00BD52F3" w:rsidRDefault="00BD52F3">
      <w:pPr>
        <w:pStyle w:val="ConsPlusNormal"/>
        <w:spacing w:before="220"/>
        <w:ind w:firstLine="540"/>
        <w:jc w:val="both"/>
      </w:pPr>
      <w:r>
        <w:t xml:space="preserve">8. </w:t>
      </w:r>
      <w:proofErr w:type="gramStart"/>
      <w:r>
        <w:t xml:space="preserve">Денежное вознаграждение учитывается при исчислении среднего заработка для оплаты отпускных, осуществляемого в соответствии со </w:t>
      </w:r>
      <w:hyperlink r:id="rId18" w:history="1">
        <w:r>
          <w:rPr>
            <w:color w:val="0000FF"/>
          </w:rPr>
          <w:t>статьей 139</w:t>
        </w:r>
      </w:hyperlink>
      <w:r>
        <w:t xml:space="preserve"> Трудового кодекса Российской Федерации и </w:t>
      </w:r>
      <w:hyperlink r:id="rId19"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w:t>
      </w:r>
      <w:hyperlink r:id="rId20" w:history="1">
        <w:r>
          <w:rPr>
            <w:color w:val="0000FF"/>
          </w:rPr>
          <w:t>пункт 9</w:t>
        </w:r>
      </w:hyperlink>
      <w:r>
        <w:t xml:space="preserve"> Разъяснений от 28 мая 2020 г</w:t>
      </w:r>
      <w:proofErr w:type="gramEnd"/>
      <w:r>
        <w:t>.).</w:t>
      </w:r>
    </w:p>
    <w:p w:rsidR="00BD52F3" w:rsidRDefault="00BD52F3">
      <w:pPr>
        <w:pStyle w:val="ConsPlusNormal"/>
        <w:spacing w:before="220"/>
        <w:ind w:firstLine="540"/>
        <w:jc w:val="both"/>
      </w:pPr>
      <w:r>
        <w:t>Денежное вознаграждение в размере 5 тысяч рублей выплачивается ежемесячно за полностью отработанное в календарном месяце время.</w:t>
      </w:r>
    </w:p>
    <w:p w:rsidR="00BD52F3" w:rsidRDefault="00BD52F3">
      <w:pPr>
        <w:pStyle w:val="ConsPlusNormal"/>
        <w:spacing w:before="220"/>
        <w:ind w:firstLine="540"/>
        <w:jc w:val="both"/>
      </w:pPr>
      <w:r>
        <w:t>Если осуществление функций классного руководителя возложено на педагогического работника, например, с 15 числа, то размер денежного вознаграждения будет исчисляться пропорционально отработанному времени.</w:t>
      </w:r>
    </w:p>
    <w:p w:rsidR="00BD52F3" w:rsidRDefault="00BD52F3">
      <w:pPr>
        <w:pStyle w:val="ConsPlusNormal"/>
        <w:spacing w:before="220"/>
        <w:ind w:firstLine="540"/>
        <w:jc w:val="both"/>
      </w:pPr>
      <w:r>
        <w:t xml:space="preserve">9. </w:t>
      </w:r>
      <w:proofErr w:type="gramStart"/>
      <w:r>
        <w:t xml:space="preserve">Денежное вознаграждение включается в средний заработок, исходя из которого исчисляются пособия по временной нетрудоспособности, но порядок его исчисления имеет существенные особенности, предусмотренные </w:t>
      </w:r>
      <w:hyperlink r:id="rId21" w:history="1">
        <w:r>
          <w:rPr>
            <w:color w:val="0000FF"/>
          </w:rPr>
          <w:t>статьей 14</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 изменениями и дополнениями) (далее - Федеральный закон N 255-ФЗ).</w:t>
      </w:r>
      <w:proofErr w:type="gramEnd"/>
    </w:p>
    <w:p w:rsidR="00BD52F3" w:rsidRDefault="00BD52F3">
      <w:pPr>
        <w:pStyle w:val="ConsPlusNormal"/>
        <w:spacing w:before="220"/>
        <w:ind w:firstLine="540"/>
        <w:jc w:val="both"/>
      </w:pPr>
      <w:r>
        <w:lastRenderedPageBreak/>
        <w:t xml:space="preserve">Согласно </w:t>
      </w:r>
      <w:hyperlink r:id="rId22" w:history="1">
        <w:r>
          <w:rPr>
            <w:color w:val="0000FF"/>
          </w:rPr>
          <w:t>части 1 статьи 14</w:t>
        </w:r>
      </w:hyperlink>
      <w:r>
        <w:t xml:space="preserve"> Федерального закона N 255-ФЗ пособие по временной нетрудоспособности исчисляется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тогда как выплата денежного вознаграждения будет осуществляться с 1 сентября 2020 года.</w:t>
      </w:r>
    </w:p>
    <w:p w:rsidR="00BD52F3" w:rsidRDefault="00BD52F3">
      <w:pPr>
        <w:pStyle w:val="ConsPlusNormal"/>
        <w:spacing w:before="220"/>
        <w:ind w:firstLine="540"/>
        <w:jc w:val="both"/>
      </w:pPr>
      <w:proofErr w:type="gramStart"/>
      <w:r>
        <w:t xml:space="preserve">Несмотря на то, что в соответствии с </w:t>
      </w:r>
      <w:hyperlink r:id="rId23" w:history="1">
        <w:r>
          <w:rPr>
            <w:color w:val="0000FF"/>
          </w:rPr>
          <w:t>частью 2 статьи 14</w:t>
        </w:r>
      </w:hyperlink>
      <w:r>
        <w:t xml:space="preserve"> Федерального закона N 255-ФЗ в средний заработок, исходя из которого исчисляется пособие по временной нетрудоспособности,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Пенсионный фонд Российской Федерации, Федеральный фонд обязательного медицинского страхования, размер пособия</w:t>
      </w:r>
      <w:proofErr w:type="gramEnd"/>
      <w:r>
        <w:t xml:space="preserve"> по временной нетрудоспособности определяется с учетом страхового стажа, других особенностей, влияющих на его размер по сравнению с </w:t>
      </w:r>
      <w:proofErr w:type="gramStart"/>
      <w:r>
        <w:t>размером оплаты труда</w:t>
      </w:r>
      <w:proofErr w:type="gramEnd"/>
      <w:r>
        <w:t xml:space="preserve"> в период работы.</w:t>
      </w:r>
    </w:p>
    <w:p w:rsidR="00BD52F3" w:rsidRDefault="00BD52F3">
      <w:pPr>
        <w:pStyle w:val="ConsPlusNormal"/>
        <w:spacing w:before="220"/>
        <w:ind w:firstLine="540"/>
        <w:jc w:val="both"/>
      </w:pPr>
      <w:proofErr w:type="gramStart"/>
      <w:r>
        <w:t xml:space="preserve">Таким образом, если в течение месяца часть времени приходится на работу в должности, а часть времени связана с временной нетрудоспособностью, то работнику за часть календарного месяца будет пропорционально начислена заработная плата, в составе которой за дни фактической работы будет учтено денежное вознаграждение, а за дни нетрудоспособности - пособие по временной нетрудоспособности, исчисленное в порядке, установленном положениями Федерального </w:t>
      </w:r>
      <w:hyperlink r:id="rId24" w:history="1">
        <w:r>
          <w:rPr>
            <w:color w:val="0000FF"/>
          </w:rPr>
          <w:t>закона</w:t>
        </w:r>
      </w:hyperlink>
      <w:r>
        <w:t xml:space="preserve"> N 255-ФЗ.</w:t>
      </w:r>
      <w:proofErr w:type="gramEnd"/>
      <w:r>
        <w:t xml:space="preserve"> При этом за первые 3 дня временной нетрудоспособности пособие выплачивается за счет средств работодателя (</w:t>
      </w:r>
      <w:hyperlink r:id="rId25" w:history="1">
        <w:r>
          <w:rPr>
            <w:color w:val="0000FF"/>
          </w:rPr>
          <w:t>пункт 1 части 2 статьи 3</w:t>
        </w:r>
      </w:hyperlink>
      <w:r>
        <w:t xml:space="preserve"> Федерального закона N 255-ФЗ).</w:t>
      </w:r>
    </w:p>
    <w:p w:rsidR="00BD52F3" w:rsidRDefault="00BD52F3">
      <w:pPr>
        <w:pStyle w:val="ConsPlusNormal"/>
        <w:spacing w:before="220"/>
        <w:ind w:firstLine="540"/>
        <w:jc w:val="both"/>
      </w:pPr>
      <w:r>
        <w:t xml:space="preserve">10. </w:t>
      </w:r>
      <w:proofErr w:type="gramStart"/>
      <w:r>
        <w:t xml:space="preserve">В связи с поступившими вопросами по применению </w:t>
      </w:r>
      <w:hyperlink r:id="rId26" w:history="1">
        <w:r>
          <w:rPr>
            <w:color w:val="0000FF"/>
          </w:rPr>
          <w:t>абзаца 8 пункта 7</w:t>
        </w:r>
      </w:hyperlink>
      <w:r>
        <w:t xml:space="preserve"> Разъяснений от 28 мая 2020 г. и предложением дать определение понятия "длительное отсутствие" педагогического работника, осуществляющего классное руководство, в целях его замещения другим педагогическим работником с установлением ему соответствующих выплат за классное руководство, сообщаем, что данный вопрос вправе решать сама общеобразовательная организация с учетом имеющихся в ее распоряжении средств</w:t>
      </w:r>
      <w:proofErr w:type="gramEnd"/>
      <w:r>
        <w:t xml:space="preserve"> фонда оплаты труда. При этом следует учитывать, что при отсутствии работника в случае его нетрудоспособности первые 3 дня оплачиваются за счет фонда оплаты труда работодателя, а последующие дни - за счет средств Фонда социального страхования. При отсутствии педагогического работника, совмещающего работу с получением образования, при направлении его в командировку, при получении им дополнительного профессионального образования работодатели сохраняют за работником среднюю заработную плату, в </w:t>
      </w:r>
      <w:proofErr w:type="gramStart"/>
      <w:r>
        <w:t>связи</w:t>
      </w:r>
      <w:proofErr w:type="gramEnd"/>
      <w:r>
        <w:t xml:space="preserve"> с чем может отсутствовать возможность для установления замещающему работнику соответствующих выплат.</w:t>
      </w:r>
    </w:p>
    <w:p w:rsidR="00BD52F3" w:rsidRDefault="00BD52F3">
      <w:pPr>
        <w:pStyle w:val="ConsPlusNormal"/>
        <w:spacing w:before="220"/>
        <w:ind w:firstLine="540"/>
        <w:jc w:val="both"/>
      </w:pPr>
      <w:proofErr w:type="gramStart"/>
      <w:r>
        <w:t xml:space="preserve">Эти и другие вопросы следует урегулировать в положении об оплате труда и (или) закрепить в коллективном договоре общеобразовательной организации, как это рекомендовано в </w:t>
      </w:r>
      <w:hyperlink r:id="rId27" w:history="1">
        <w:r>
          <w:rPr>
            <w:color w:val="0000FF"/>
          </w:rPr>
          <w:t>абзаце четвертом пункта 7</w:t>
        </w:r>
      </w:hyperlink>
      <w:r>
        <w:t xml:space="preserve"> Разъяснений от 28 мая 2020 г., не допуская при этом возложения на педагогического работника работы по классному руководству и в дополнительном классе, в том числе временно, без дополнительной оплаты.</w:t>
      </w:r>
      <w:proofErr w:type="gramEnd"/>
    </w:p>
    <w:p w:rsidR="00BD52F3" w:rsidRDefault="00BD52F3">
      <w:pPr>
        <w:pStyle w:val="ConsPlusNormal"/>
        <w:spacing w:before="220"/>
        <w:ind w:firstLine="540"/>
        <w:jc w:val="both"/>
      </w:pPr>
      <w:r>
        <w:t xml:space="preserve">11. </w:t>
      </w:r>
      <w:proofErr w:type="gramStart"/>
      <w:r>
        <w:t>При решении вопроса об отнесении выплат за классное руководство к виду выплат компенсационного или стимулирующего характера необходимо учесть, что осуществление классного руководства не входит в основные должностные обязанности учителей и других педагогических работников, а является для них дополнительной работой, которая может возлагаться на них только с их письменного согласия и за дополнительную оплату, в том числе в размере 5 тысяч</w:t>
      </w:r>
      <w:proofErr w:type="gramEnd"/>
      <w:r>
        <w:t xml:space="preserve"> рублей в виде ежемесячного денежного вознаграждения, которое предусматривается из федерального бюджета.</w:t>
      </w:r>
    </w:p>
    <w:p w:rsidR="00BD52F3" w:rsidRDefault="00BD52F3">
      <w:pPr>
        <w:pStyle w:val="ConsPlusNormal"/>
        <w:spacing w:before="220"/>
        <w:ind w:firstLine="540"/>
        <w:jc w:val="both"/>
      </w:pPr>
      <w:r>
        <w:t>Выплаты за дополнительную работу, осуществляемую с письменного согласия педагогических работников, рекомендовано относить к выплатам компенсационного характера. &lt;1&gt;</w:t>
      </w:r>
    </w:p>
    <w:p w:rsidR="00BD52F3" w:rsidRDefault="00BD52F3">
      <w:pPr>
        <w:pStyle w:val="ConsPlusNormal"/>
        <w:spacing w:before="220"/>
        <w:ind w:firstLine="540"/>
        <w:jc w:val="both"/>
      </w:pPr>
      <w:r>
        <w:lastRenderedPageBreak/>
        <w:t>--------------------------------</w:t>
      </w:r>
    </w:p>
    <w:p w:rsidR="00BD52F3" w:rsidRDefault="00BD52F3">
      <w:pPr>
        <w:pStyle w:val="ConsPlusNormal"/>
        <w:spacing w:before="220"/>
        <w:ind w:firstLine="540"/>
        <w:jc w:val="both"/>
      </w:pPr>
      <w:r>
        <w:t xml:space="preserve">&lt;1&gt; </w:t>
      </w:r>
      <w:hyperlink r:id="rId28" w:history="1">
        <w:r>
          <w:rPr>
            <w:color w:val="0000FF"/>
          </w:rPr>
          <w:t>Пункт 4.9</w:t>
        </w:r>
      </w:hyperlink>
      <w:r>
        <w:t xml:space="preserve"> Методических рекомендаций Минобрнауки России по формированию системы оплаты труда работников общеобразовательных организаций (письмо от 29 декабря 2017 г. N ВП-1992/02).</w:t>
      </w:r>
    </w:p>
    <w:p w:rsidR="00BD52F3" w:rsidRDefault="00BD52F3">
      <w:pPr>
        <w:pStyle w:val="ConsPlusNormal"/>
        <w:spacing w:before="220"/>
        <w:ind w:firstLine="540"/>
        <w:jc w:val="both"/>
      </w:pPr>
      <w:r>
        <w:t xml:space="preserve">Отраслевое </w:t>
      </w:r>
      <w:hyperlink r:id="rId29" w:history="1">
        <w:r>
          <w:rPr>
            <w:color w:val="0000FF"/>
          </w:rPr>
          <w:t>соглашение</w:t>
        </w:r>
      </w:hyperlink>
      <w:r>
        <w:t xml:space="preserve">, заключенное на период 2018 - 2020 годы между Министерством образования и науки Российской Федерации и Общероссийским Профсоюзом образования </w:t>
      </w:r>
      <w:hyperlink r:id="rId30" w:history="1">
        <w:r>
          <w:rPr>
            <w:color w:val="0000FF"/>
          </w:rPr>
          <w:t>(пункт 5.11.8)</w:t>
        </w:r>
      </w:hyperlink>
      <w:r>
        <w:t>.</w:t>
      </w:r>
    </w:p>
    <w:p w:rsidR="00BD52F3" w:rsidRDefault="00BD52F3">
      <w:pPr>
        <w:pStyle w:val="ConsPlusNormal"/>
        <w:jc w:val="both"/>
      </w:pPr>
    </w:p>
    <w:p w:rsidR="00BD52F3" w:rsidRDefault="00BD52F3">
      <w:pPr>
        <w:pStyle w:val="ConsPlusNormal"/>
        <w:jc w:val="right"/>
      </w:pPr>
      <w:r>
        <w:t>Заместитель Министра просвещения</w:t>
      </w:r>
    </w:p>
    <w:p w:rsidR="00BD52F3" w:rsidRDefault="00BD52F3">
      <w:pPr>
        <w:pStyle w:val="ConsPlusNormal"/>
        <w:jc w:val="right"/>
      </w:pPr>
      <w:r>
        <w:t>Российской Федерации</w:t>
      </w:r>
    </w:p>
    <w:p w:rsidR="00BD52F3" w:rsidRDefault="00BD52F3">
      <w:pPr>
        <w:pStyle w:val="ConsPlusNormal"/>
        <w:jc w:val="right"/>
      </w:pPr>
      <w:r>
        <w:t>В.С.БАСЮК</w:t>
      </w:r>
    </w:p>
    <w:p w:rsidR="00BD52F3" w:rsidRDefault="00BD52F3">
      <w:pPr>
        <w:pStyle w:val="ConsPlusNormal"/>
        <w:jc w:val="both"/>
      </w:pPr>
    </w:p>
    <w:p w:rsidR="00BD52F3" w:rsidRDefault="00BD52F3">
      <w:pPr>
        <w:pStyle w:val="ConsPlusNormal"/>
        <w:jc w:val="right"/>
      </w:pPr>
      <w:r>
        <w:t>Председатель Профсоюза работников</w:t>
      </w:r>
    </w:p>
    <w:p w:rsidR="00BD52F3" w:rsidRDefault="00BD52F3">
      <w:pPr>
        <w:pStyle w:val="ConsPlusNormal"/>
        <w:jc w:val="right"/>
      </w:pPr>
      <w:r>
        <w:t>народного образования и науки</w:t>
      </w:r>
    </w:p>
    <w:p w:rsidR="00BD52F3" w:rsidRDefault="00BD52F3">
      <w:pPr>
        <w:pStyle w:val="ConsPlusNormal"/>
        <w:jc w:val="right"/>
      </w:pPr>
      <w:r>
        <w:t>Российской Федерации</w:t>
      </w:r>
    </w:p>
    <w:p w:rsidR="00BD52F3" w:rsidRDefault="00BD52F3">
      <w:pPr>
        <w:pStyle w:val="ConsPlusNormal"/>
        <w:jc w:val="right"/>
      </w:pPr>
      <w:r>
        <w:t>Г.И.МЕРКУЛОВА</w:t>
      </w:r>
    </w:p>
    <w:p w:rsidR="00BD52F3" w:rsidRDefault="00BD52F3">
      <w:pPr>
        <w:pStyle w:val="ConsPlusNormal"/>
        <w:jc w:val="both"/>
      </w:pPr>
    </w:p>
    <w:p w:rsidR="00BD52F3" w:rsidRDefault="00BD52F3">
      <w:pPr>
        <w:pStyle w:val="ConsPlusNormal"/>
        <w:jc w:val="both"/>
      </w:pPr>
    </w:p>
    <w:p w:rsidR="00BD52F3" w:rsidRDefault="00BD52F3">
      <w:pPr>
        <w:pStyle w:val="ConsPlusNormal"/>
        <w:pBdr>
          <w:top w:val="single" w:sz="6" w:space="0" w:color="auto"/>
        </w:pBdr>
        <w:spacing w:before="100" w:after="100"/>
        <w:jc w:val="both"/>
        <w:rPr>
          <w:sz w:val="2"/>
          <w:szCs w:val="2"/>
        </w:rPr>
      </w:pPr>
    </w:p>
    <w:p w:rsidR="00A37208" w:rsidRDefault="00BD52F3">
      <w:bookmarkStart w:id="3" w:name="_GoBack"/>
      <w:bookmarkEnd w:id="3"/>
    </w:p>
    <w:sectPr w:rsidR="00A37208" w:rsidSect="00B41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F3"/>
    <w:rsid w:val="00BD52F3"/>
    <w:rsid w:val="00CC4C2A"/>
    <w:rsid w:val="00D5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2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2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EEB2D047E92EAAF586A6F79FE8BFC676001CA92E764F1F0EDC6ED389730A442344E683995C8F6259BC2BAFD1C655538DF878D749F9D8FDPD40M" TargetMode="External"/><Relationship Id="rId13" Type="http://schemas.openxmlformats.org/officeDocument/2006/relationships/hyperlink" Target="consultantplus://offline/ref=6AEEB2D047E92EAAF586A6F79FE8BFC6730319AD28734F1F0EDC6ED389730A443144BE8F985C91635BA97DFE97P941M" TargetMode="External"/><Relationship Id="rId18" Type="http://schemas.openxmlformats.org/officeDocument/2006/relationships/hyperlink" Target="consultantplus://offline/ref=6AEEB2D047E92EAAF586A6F79FE8BFC6710810A921774F1F0EDC6ED389730A442344E683995C866750BC2BAFD1C655538DF878D749F9D8FDPD40M" TargetMode="External"/><Relationship Id="rId26" Type="http://schemas.openxmlformats.org/officeDocument/2006/relationships/hyperlink" Target="consultantplus://offline/ref=6AEEB2D047E92EAAF586A6F79FE8BFC671051EA921724F1F0EDC6ED389730A442344E683995C8F605EBC2BAFD1C655538DF878D749F9D8FDPD40M" TargetMode="External"/><Relationship Id="rId3" Type="http://schemas.openxmlformats.org/officeDocument/2006/relationships/settings" Target="settings.xml"/><Relationship Id="rId21" Type="http://schemas.openxmlformats.org/officeDocument/2006/relationships/hyperlink" Target="consultantplus://offline/ref=6AEEB2D047E92EAAF586A6F79FE8BFC671081AAD29774F1F0EDC6ED389730A442344E680995D843709F32AF3949346528EF87AD455PF49M" TargetMode="External"/><Relationship Id="rId7" Type="http://schemas.openxmlformats.org/officeDocument/2006/relationships/hyperlink" Target="consultantplus://offline/ref=6AEEB2D047E92EAAF586A6F79FE8BFC671021CAF2F764F1F0EDC6ED389730A442344E683995C886350BC2BAFD1C655538DF878D749F9D8FDPD40M" TargetMode="External"/><Relationship Id="rId12" Type="http://schemas.openxmlformats.org/officeDocument/2006/relationships/hyperlink" Target="consultantplus://offline/ref=6AEEB2D047E92EAAF586A6F79FE8BFC6730210AB2D714F1F0EDC6ED389730A443144BE8F985C91635BA97DFE97P941M" TargetMode="External"/><Relationship Id="rId17" Type="http://schemas.openxmlformats.org/officeDocument/2006/relationships/hyperlink" Target="consultantplus://offline/ref=6AEEB2D047E92EAAF586A6F79FE8BFC673091BA920714F1F0EDC6ED389730A443144BE8F985C91635BA97DFE97P941M" TargetMode="External"/><Relationship Id="rId25" Type="http://schemas.openxmlformats.org/officeDocument/2006/relationships/hyperlink" Target="consultantplus://offline/ref=6AEEB2D047E92EAAF586A6F79FE8BFC671081AAD29774F1F0EDC6ED389730A442344E6809B5C843709F32AF3949346528EF87AD455PF49M" TargetMode="External"/><Relationship Id="rId2" Type="http://schemas.microsoft.com/office/2007/relationships/stylesWithEffects" Target="stylesWithEffects.xml"/><Relationship Id="rId16" Type="http://schemas.openxmlformats.org/officeDocument/2006/relationships/hyperlink" Target="consultantplus://offline/ref=6AEEB2D047E92EAAF586A6F79FE8BFC673091BA920714F1F0EDC6ED389730A443144BE8F985C91635BA97DFE97P941M" TargetMode="External"/><Relationship Id="rId20" Type="http://schemas.openxmlformats.org/officeDocument/2006/relationships/hyperlink" Target="consultantplus://offline/ref=6AEEB2D047E92EAAF586A6F79FE8BFC671051EA921724F1F0EDC6ED389730A442344E683995C8F6758BC2BAFD1C655538DF878D749F9D8FDPD40M" TargetMode="External"/><Relationship Id="rId29" Type="http://schemas.openxmlformats.org/officeDocument/2006/relationships/hyperlink" Target="consultantplus://offline/ref=6AEEB2D047E92EAAF586A6F79FE8BFC670081EAD21744F1F0EDC6ED389730A443144BE8F985C91635BA97DFE97P941M" TargetMode="External"/><Relationship Id="rId1" Type="http://schemas.openxmlformats.org/officeDocument/2006/relationships/styles" Target="styles.xml"/><Relationship Id="rId6" Type="http://schemas.openxmlformats.org/officeDocument/2006/relationships/hyperlink" Target="consultantplus://offline/ref=6AEEB2D047E92EAAF586A6F79FE8BFC671051EA921724F1F0EDC6ED389730A443144BE8F985C91635BA97DFE97P941M" TargetMode="External"/><Relationship Id="rId11" Type="http://schemas.openxmlformats.org/officeDocument/2006/relationships/hyperlink" Target="consultantplus://offline/ref=6AEEB2D047E92EAAF586A6F79FE8BFC673081FAA2D754F1F0EDC6ED389730A442344E683995C8C6758BC2BAFD1C655538DF878D749F9D8FDPD40M" TargetMode="External"/><Relationship Id="rId24" Type="http://schemas.openxmlformats.org/officeDocument/2006/relationships/hyperlink" Target="consultantplus://offline/ref=6AEEB2D047E92EAAF586A6F79FE8BFC671081AAD29774F1F0EDC6ED389730A443144BE8F985C91635BA97DFE97P941M"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6AEEB2D047E92EAAF586A6F79FE8BFC673091BA920714F1F0EDC6ED389730A443144BE8F985C91635BA97DFE97P941M" TargetMode="External"/><Relationship Id="rId23" Type="http://schemas.openxmlformats.org/officeDocument/2006/relationships/hyperlink" Target="consultantplus://offline/ref=6AEEB2D047E92EAAF586A6F79FE8BFC671081AAD29774F1F0EDC6ED389730A442344E6819B5E843709F32AF3949346528EF87AD455PF49M" TargetMode="External"/><Relationship Id="rId28" Type="http://schemas.openxmlformats.org/officeDocument/2006/relationships/hyperlink" Target="consultantplus://offline/ref=6AEEB2D047E92EAAF586A6F79FE8BFC6700811AA2E744F1F0EDC6ED389730A442344E683995C8E605EBC2BAFD1C655538DF878D749F9D8FDPD40M" TargetMode="External"/><Relationship Id="rId10" Type="http://schemas.openxmlformats.org/officeDocument/2006/relationships/hyperlink" Target="consultantplus://offline/ref=6AEEB2D047E92EAAF586A6F79FE8BFC671051EA921724F1F0EDC6ED389730A442344E683995C8F615BBC2BAFD1C655538DF878D749F9D8FDPD40M" TargetMode="External"/><Relationship Id="rId19" Type="http://schemas.openxmlformats.org/officeDocument/2006/relationships/hyperlink" Target="consultantplus://offline/ref=6AEEB2D047E92EAAF586A6F79FE8BFC6700011AF2F744F1F0EDC6ED389730A442344E683995C8F6258BC2BAFD1C655538DF878D749F9D8FDPD40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EEB2D047E92EAAF586A6F79FE8BFC6710410AC2E744F1F0EDC6ED389730A442344E683995C8F625EBC2BAFD1C655538DF878D749F9D8FDPD40M" TargetMode="External"/><Relationship Id="rId14" Type="http://schemas.openxmlformats.org/officeDocument/2006/relationships/hyperlink" Target="consultantplus://offline/ref=6AEEB2D047E92EAAF586A6F79FE8BFC671051EA921724F1F0EDC6ED389730A442344E683995C8F625DBC2BAFD1C655538DF878D749F9D8FDPD40M" TargetMode="External"/><Relationship Id="rId22" Type="http://schemas.openxmlformats.org/officeDocument/2006/relationships/hyperlink" Target="consultantplus://offline/ref=6AEEB2D047E92EAAF586A6F79FE8BFC671081AAD29774F1F0EDC6ED389730A442344E6809A5A843709F32AF3949346528EF87AD455PF49M" TargetMode="External"/><Relationship Id="rId27" Type="http://schemas.openxmlformats.org/officeDocument/2006/relationships/hyperlink" Target="consultantplus://offline/ref=6AEEB2D047E92EAAF586A6F79FE8BFC671051EA921724F1F0EDC6ED389730A442344E683995C8F605ABC2BAFD1C655538DF878D749F9D8FDPD40M" TargetMode="External"/><Relationship Id="rId30" Type="http://schemas.openxmlformats.org/officeDocument/2006/relationships/hyperlink" Target="consultantplus://offline/ref=6AEEB2D047E92EAAF586A6F79FE8BFC670081EAD21744F1F0EDC6ED389730A442344E683995C8E6B5ABC2BAFD1C655538DF878D749F9D8FDPD4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3175</Words>
  <Characters>18103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Ельникова</dc:creator>
  <cp:lastModifiedBy>Олеся Александровна Ельникова</cp:lastModifiedBy>
  <cp:revision>1</cp:revision>
  <dcterms:created xsi:type="dcterms:W3CDTF">2022-03-10T12:56:00Z</dcterms:created>
  <dcterms:modified xsi:type="dcterms:W3CDTF">2022-03-10T12:59:00Z</dcterms:modified>
</cp:coreProperties>
</file>