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7" w:rsidRDefault="009527D7" w:rsidP="009527D7">
      <w:pPr>
        <w:pStyle w:val="ConsPlusNormal"/>
        <w:jc w:val="right"/>
        <w:outlineLvl w:val="0"/>
      </w:pPr>
      <w:r>
        <w:t>Приложение N 14</w:t>
      </w:r>
    </w:p>
    <w:p w:rsidR="009527D7" w:rsidRDefault="009527D7" w:rsidP="009527D7">
      <w:pPr>
        <w:pStyle w:val="ConsPlusNormal"/>
        <w:ind w:firstLine="540"/>
        <w:jc w:val="both"/>
      </w:pPr>
    </w:p>
    <w:p w:rsidR="009527D7" w:rsidRDefault="009527D7" w:rsidP="009527D7">
      <w:pPr>
        <w:pStyle w:val="ConsPlusNormal"/>
        <w:jc w:val="right"/>
      </w:pPr>
      <w:r>
        <w:t>Утверждена</w:t>
      </w:r>
    </w:p>
    <w:p w:rsidR="009527D7" w:rsidRDefault="009527D7" w:rsidP="009527D7">
      <w:pPr>
        <w:pStyle w:val="ConsPlusNormal"/>
        <w:jc w:val="right"/>
      </w:pPr>
      <w:r>
        <w:t>приказом Федеральной службы</w:t>
      </w:r>
    </w:p>
    <w:p w:rsidR="009527D7" w:rsidRDefault="009527D7" w:rsidP="009527D7">
      <w:pPr>
        <w:pStyle w:val="ConsPlusNormal"/>
        <w:jc w:val="right"/>
      </w:pPr>
      <w:r>
        <w:t>по надзору в сфере образования и науки</w:t>
      </w:r>
    </w:p>
    <w:p w:rsidR="009527D7" w:rsidRDefault="009527D7" w:rsidP="009527D7">
      <w:pPr>
        <w:pStyle w:val="ConsPlusNormal"/>
        <w:jc w:val="right"/>
      </w:pPr>
      <w:r>
        <w:t>от 02.05.2024 N 955</w:t>
      </w:r>
    </w:p>
    <w:p w:rsidR="009527D7" w:rsidRDefault="009527D7" w:rsidP="009527D7">
      <w:pPr>
        <w:pStyle w:val="ConsPlusNormal"/>
        <w:ind w:firstLine="540"/>
        <w:jc w:val="both"/>
      </w:pPr>
    </w:p>
    <w:p w:rsidR="009527D7" w:rsidRDefault="009527D7" w:rsidP="009527D7">
      <w:pPr>
        <w:pStyle w:val="ConsPlusNormal"/>
        <w:jc w:val="right"/>
      </w:pPr>
      <w:r>
        <w:t>Форма</w:t>
      </w:r>
    </w:p>
    <w:p w:rsidR="009527D7" w:rsidRDefault="009527D7" w:rsidP="009527D7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9527D7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527D7" w:rsidRDefault="009527D7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9527D7" w:rsidRDefault="009527D7" w:rsidP="009527D7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9527D7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27D7" w:rsidRDefault="009527D7" w:rsidP="00A15EA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9527D7" w:rsidRDefault="009527D7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14 </w:t>
            </w:r>
            <w:hyperlink w:anchor="P54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01.09.2024 и </w:t>
            </w:r>
            <w:hyperlink w:anchor="P53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01.09.2026.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7D7" w:rsidRDefault="009527D7" w:rsidP="00A15EA8">
            <w:pPr>
              <w:pStyle w:val="ConsPlusNormal"/>
            </w:pPr>
          </w:p>
        </w:tc>
      </w:tr>
    </w:tbl>
    <w:p w:rsidR="009527D7" w:rsidRDefault="009527D7" w:rsidP="009527D7">
      <w:pPr>
        <w:pStyle w:val="ConsPlusNonformat"/>
        <w:spacing w:before="260"/>
        <w:jc w:val="both"/>
      </w:pPr>
      <w:bookmarkStart w:id="0" w:name="P4932"/>
      <w:bookmarkEnd w:id="0"/>
      <w:r>
        <w:t xml:space="preserve">                             Проверочный лист,</w:t>
      </w:r>
    </w:p>
    <w:p w:rsidR="009527D7" w:rsidRDefault="009527D7" w:rsidP="009527D7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9527D7" w:rsidRDefault="009527D7" w:rsidP="009527D7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9527D7" w:rsidRDefault="009527D7" w:rsidP="009527D7">
      <w:pPr>
        <w:pStyle w:val="ConsPlusNonformat"/>
        <w:jc w:val="both"/>
      </w:pPr>
      <w:r>
        <w:t xml:space="preserve">         организации и осуществления образовательной деятельности</w:t>
      </w:r>
    </w:p>
    <w:p w:rsidR="009527D7" w:rsidRDefault="009527D7" w:rsidP="009527D7">
      <w:pPr>
        <w:pStyle w:val="ConsPlusNonformat"/>
        <w:jc w:val="both"/>
      </w:pPr>
      <w:r>
        <w:t xml:space="preserve">       по основным общеобразовательным программам - образовательным</w:t>
      </w:r>
    </w:p>
    <w:p w:rsidR="009527D7" w:rsidRDefault="009527D7" w:rsidP="009527D7">
      <w:pPr>
        <w:pStyle w:val="ConsPlusNonformat"/>
        <w:jc w:val="both"/>
      </w:pPr>
      <w:r>
        <w:t xml:space="preserve">                    программам дошкольного образования</w:t>
      </w:r>
    </w:p>
    <w:p w:rsidR="009527D7" w:rsidRDefault="009527D7" w:rsidP="009527D7">
      <w:pPr>
        <w:pStyle w:val="ConsPlusNonformat"/>
        <w:jc w:val="both"/>
      </w:pPr>
    </w:p>
    <w:p w:rsidR="009527D7" w:rsidRDefault="009527D7" w:rsidP="009527D7">
      <w:pPr>
        <w:pStyle w:val="ConsPlusNonformat"/>
        <w:jc w:val="both"/>
      </w:pPr>
      <w:r>
        <w:t xml:space="preserve">    1. Наименование   вида  контроля,  внесенного  в  Единый  реестр  видов</w:t>
      </w:r>
    </w:p>
    <w:p w:rsidR="009527D7" w:rsidRDefault="009527D7" w:rsidP="009527D7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9527D7" w:rsidRDefault="009527D7" w:rsidP="009527D7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9527D7" w:rsidRDefault="009527D7" w:rsidP="009527D7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9527D7" w:rsidRDefault="009527D7" w:rsidP="009527D7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9527D7" w:rsidRDefault="009527D7" w:rsidP="009527D7">
      <w:pPr>
        <w:pStyle w:val="ConsPlusNonformat"/>
        <w:jc w:val="both"/>
      </w:pPr>
      <w:r>
        <w:t>надзору в сфере образования и науки.</w:t>
      </w:r>
    </w:p>
    <w:p w:rsidR="009527D7" w:rsidRDefault="009527D7" w:rsidP="009527D7">
      <w:pPr>
        <w:pStyle w:val="ConsPlusNonformat"/>
        <w:jc w:val="both"/>
      </w:pPr>
      <w:r>
        <w:t xml:space="preserve">    3. Форма   проверочного   листа   утверждена   приказом   </w:t>
      </w:r>
      <w:proofErr w:type="spellStart"/>
      <w:r>
        <w:t>Рособрнадзора</w:t>
      </w:r>
      <w:proofErr w:type="spellEnd"/>
    </w:p>
    <w:p w:rsidR="009527D7" w:rsidRDefault="009527D7" w:rsidP="009527D7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9527D7" w:rsidRDefault="009527D7" w:rsidP="009527D7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9527D7" w:rsidRDefault="009527D7" w:rsidP="009527D7">
      <w:pPr>
        <w:pStyle w:val="ConsPlusNonformat"/>
        <w:jc w:val="both"/>
      </w:pPr>
      <w:r>
        <w:t>образования".</w:t>
      </w:r>
    </w:p>
    <w:p w:rsidR="009527D7" w:rsidRDefault="009527D7" w:rsidP="009527D7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9527D7" w:rsidRDefault="009527D7" w:rsidP="009527D7">
      <w:pPr>
        <w:pStyle w:val="ConsPlusNonformat"/>
        <w:jc w:val="both"/>
      </w:pPr>
      <w:r>
        <w:t>выездная проверка (далее - проверка</w:t>
      </w:r>
      <w:proofErr w:type="gramStart"/>
      <w:r>
        <w:t>): ____________________________________;</w:t>
      </w:r>
      <w:proofErr w:type="gramEnd"/>
    </w:p>
    <w:p w:rsidR="009527D7" w:rsidRDefault="009527D7" w:rsidP="009527D7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9527D7" w:rsidRDefault="009527D7" w:rsidP="009527D7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9527D7" w:rsidRDefault="009527D7" w:rsidP="009527D7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9527D7" w:rsidRDefault="009527D7" w:rsidP="009527D7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9527D7" w:rsidRDefault="009527D7" w:rsidP="009527D7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9527D7" w:rsidRDefault="009527D7" w:rsidP="009527D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9527D7" w:rsidRDefault="009527D7" w:rsidP="009527D7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9527D7" w:rsidRDefault="009527D7" w:rsidP="009527D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9527D7" w:rsidRDefault="009527D7" w:rsidP="009527D7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9527D7" w:rsidRDefault="009527D7" w:rsidP="009527D7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9527D7" w:rsidRDefault="009527D7" w:rsidP="009527D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9527D7" w:rsidRDefault="009527D7" w:rsidP="009527D7">
      <w:pPr>
        <w:pStyle w:val="ConsPlusNonformat"/>
        <w:jc w:val="both"/>
      </w:pPr>
      <w:r>
        <w:t xml:space="preserve">    8. Учетный номер проверки:</w:t>
      </w:r>
    </w:p>
    <w:p w:rsidR="009527D7" w:rsidRDefault="009527D7" w:rsidP="009527D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9527D7" w:rsidRDefault="009527D7" w:rsidP="009527D7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9527D7" w:rsidRDefault="009527D7" w:rsidP="009527D7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9527D7" w:rsidRDefault="009527D7" w:rsidP="009527D7">
      <w:pPr>
        <w:pStyle w:val="ConsPlusNonformat"/>
        <w:jc w:val="both"/>
      </w:pPr>
      <w:r>
        <w:t>контролируемым лицом обязательных требований:</w:t>
      </w:r>
    </w:p>
    <w:p w:rsidR="009527D7" w:rsidRDefault="009527D7" w:rsidP="009527D7">
      <w:pPr>
        <w:pStyle w:val="ConsPlusNormal"/>
        <w:ind w:firstLine="540"/>
        <w:jc w:val="both"/>
      </w:pPr>
    </w:p>
    <w:p w:rsidR="009527D7" w:rsidRDefault="009527D7" w:rsidP="009527D7">
      <w:pPr>
        <w:pStyle w:val="ConsPlusNormal"/>
        <w:sectPr w:rsidR="009527D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proofErr w:type="gramStart"/>
            <w:r>
              <w:t>Разрабатываются ли и утверждаются ли образовательные программы дошкольного образования организациями, осуществляющими образовательную деятельность и реализующими основные общеобразовательные программы - образовательные программы дошкольного образования, в том числе для обучающихся, относящихся к коренным малочисленным народам Севера, Сибири и Дальнего Востока Российской Федерации, ведущим кочевой и (или) полукочевой образ жизни, в местах их традиционного проживания и традиционной хозяйственной деятельности, а также адаптированные образовательные программы</w:t>
            </w:r>
            <w:proofErr w:type="gramEnd"/>
            <w:r>
              <w:t xml:space="preserve"> дошкольного образования, включая индивидуальных предпринимателей (далее - образовательная организация)?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10</w:t>
              </w:r>
            </w:hyperlink>
            <w:r>
      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</w:t>
            </w:r>
            <w:hyperlink w:anchor="P5076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373)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Разрабатываются ли и утверждаются образовательной организацией образовательные программы дошкольного образования в соответствии с федеральным государственным образовательным стандартом дошкольного образования и соответствующей федеральной образовательной программой дошкольного образования?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Соблюдается ли требование, что содержание и планируемые результаты разработанных образовательными организациями образовательных программ не ниже соответствующих содержания и планируемых результатов федеральной образовательной программы дошкольного образования?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Устанавливается ли локальным нормативным актом образовательной организации режим работы?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Реализуются ли образовательные программы дошкольного образования в группах, функционирующих в режиме не менее 3 часов в день?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Создаются ли специальные условия </w:t>
            </w:r>
            <w:proofErr w:type="gramStart"/>
            <w:r>
              <w:t>в организации при осуществлении образовательной деятельности по адаптированным образовательным программам дошкольного образования для получения дошкольного образования детьми с ограниченными возможностями</w:t>
            </w:r>
            <w:proofErr w:type="gramEnd"/>
            <w:r>
              <w:t xml:space="preserve"> здоровья?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Не превышает ли количество детей в группах компенсирующей направленности, установленное </w:t>
            </w:r>
            <w:hyperlink r:id="rId11">
              <w:r>
                <w:rPr>
                  <w:color w:val="0000FF"/>
                </w:rPr>
                <w:t>пунктом 20</w:t>
              </w:r>
            </w:hyperlink>
            <w:r>
              <w:t xml:space="preserve"> Порядка N 373?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Соблюдается ли требование не допускать смешение более 3 категорий детей с ограниченными возможностями здоровья при комплектовании групп комбинированной направленности?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</w:tcPr>
          <w:p w:rsidR="009527D7" w:rsidRDefault="009527D7" w:rsidP="00A15E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Учитываются ли направленность адаптированных образовательных программ дошкольного образования и возможности их одновременной реализации в одной группе при объединении детей с разными нарушениями в развитии?</w:t>
            </w:r>
          </w:p>
        </w:tc>
        <w:tc>
          <w:tcPr>
            <w:tcW w:w="3345" w:type="dxa"/>
          </w:tcPr>
          <w:p w:rsidR="009527D7" w:rsidRDefault="009527D7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 w:val="restart"/>
            <w:tcBorders>
              <w:bottom w:val="nil"/>
            </w:tcBorders>
          </w:tcPr>
          <w:p w:rsidR="009527D7" w:rsidRDefault="009527D7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Введены ли организацией при получении дошкольного образования детьми с ограниченными возможностями здоровья в группах компенсирующей направленности штатные единицы следующих специалистов: учитель-дефектолог (</w:t>
            </w:r>
            <w:proofErr w:type="spellStart"/>
            <w:r>
              <w:t>олигофренопедагог</w:t>
            </w:r>
            <w:proofErr w:type="spellEnd"/>
            <w:r>
              <w:t xml:space="preserve">, сурдопедагог, тифлопедагог), учитель-логопед, педагог-психолог, </w:t>
            </w:r>
            <w:proofErr w:type="spellStart"/>
            <w:r>
              <w:t>тьютор</w:t>
            </w:r>
            <w:proofErr w:type="spellEnd"/>
            <w:r>
              <w:t>, ассистент (помощник) в штатное расписание на каждую группу:</w:t>
            </w:r>
          </w:p>
          <w:p w:rsidR="009527D7" w:rsidRDefault="009527D7" w:rsidP="00A15EA8">
            <w:pPr>
              <w:pStyle w:val="ConsPlusNormal"/>
              <w:jc w:val="both"/>
            </w:pPr>
            <w:r>
              <w:t>- для детей с нарушениями слуха (глухих, слабослышащих, позднооглохших) - не менее 0,5 штатной единицы учителя-логопеда, не менее 1 штатной единицы учителя-дефектолога (сурдопедагога), не менее 0,5 штатной единицы педагога-психолога?</w:t>
            </w:r>
          </w:p>
        </w:tc>
        <w:tc>
          <w:tcPr>
            <w:tcW w:w="3345" w:type="dxa"/>
            <w:vMerge w:val="restart"/>
            <w:tcBorders>
              <w:bottom w:val="nil"/>
            </w:tcBorders>
          </w:tcPr>
          <w:p w:rsidR="009527D7" w:rsidRDefault="009527D7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21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- для детей с нарушениями зрения (слепых, слабовидящих, с </w:t>
            </w:r>
            <w:proofErr w:type="spellStart"/>
            <w:r>
              <w:t>амблиопией</w:t>
            </w:r>
            <w:proofErr w:type="spellEnd"/>
            <w:r>
              <w:t xml:space="preserve"> и косоглазием) - не менее 1 штатной единицы учителя-дефектолога (тифлопедагога), не менее 0,5 штатной единицы учителя-логопеда, не менее 0,5 штатной единицы педагога-психолога?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- для детей с тяжелыми нарушениями речи - не менее 1 штатной единицы учителя-логопеда, не менее 0,5 штатной единицы педагога-</w:t>
            </w:r>
            <w:r>
              <w:lastRenderedPageBreak/>
              <w:t>психолога?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- для детей с нарушениями опорно-двигательного аппарата - не менее 1 штатной единицы учителя-дефектолога и (или) педагога-психолога, не менее 0,5 штатной единицы учителя-логопеда, не менее 0,5 штатной единицы ассистента (помощника)?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 w:val="restart"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- для детей с расстройствами аутистического спектра - не менее 0,5 штатной единицы учителя-дефектолога (</w:t>
            </w:r>
            <w:proofErr w:type="spellStart"/>
            <w:r>
              <w:t>олигофренопедагогога</w:t>
            </w:r>
            <w:proofErr w:type="spellEnd"/>
            <w:r>
              <w:t>) и/или педагога-психолога, не менее 0,5 штатной единицы учителя-логопеда?</w:t>
            </w:r>
          </w:p>
        </w:tc>
        <w:tc>
          <w:tcPr>
            <w:tcW w:w="3345" w:type="dxa"/>
            <w:vMerge w:val="restart"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- для детей с задержкой психического развития - не менее 1 штатной единицы учителя-дефектолога (</w:t>
            </w:r>
            <w:proofErr w:type="spellStart"/>
            <w:r>
              <w:t>олигофренопедагога</w:t>
            </w:r>
            <w:proofErr w:type="spellEnd"/>
            <w:r>
              <w:t>) и/или педагога-психолога, не менее 0,5 штатной единицы учителя-логопеда?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- для детей с умственной отсталостью - не менее 1 штатной единицы учителя-дефектолога (</w:t>
            </w:r>
            <w:proofErr w:type="spellStart"/>
            <w:r>
              <w:t>олигофренопедагога</w:t>
            </w:r>
            <w:proofErr w:type="spellEnd"/>
            <w:r>
              <w:t>), не менее 0,5 штатной единицы учителя-логопеда и не менее 1 штатной единицы педагога-психолога?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- для детей со сложным дефектом (тяжелыми и множественными нарушениями развития) - не менее 1 штатной единицы учителя-дефектолога и (или) педагога-психолога, не менее 0,5 штатной единицы учителя-логопеда, не менее 1 штатной единицы ассистента (помощника)?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- для детей с нарушениями зрения (слепых), или расстройствами аутистического спектра, или умственной отсталостью (умеренной и тяжелой степени) - не менее 1 штатной единицы </w:t>
            </w:r>
            <w:proofErr w:type="spellStart"/>
            <w:r>
              <w:t>тьютора</w:t>
            </w:r>
            <w:proofErr w:type="spellEnd"/>
            <w:r>
              <w:t>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 w:val="restart"/>
          </w:tcPr>
          <w:p w:rsidR="009527D7" w:rsidRDefault="009527D7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>Вводятся ли при получении дошкольного образования детьми с ограниченными возможностями здоровья в группах комбинированной направленности для организации непрерывной образовательной деятельности и коррекционных занятий с учетом особенностей детей в штатное расписание штатные единицы следующих специалистов: учитель-дефектолог (</w:t>
            </w:r>
            <w:proofErr w:type="spellStart"/>
            <w:r>
              <w:t>олигофренопедагог</w:t>
            </w:r>
            <w:proofErr w:type="spellEnd"/>
            <w:r>
              <w:t xml:space="preserve">, сурдопедагог, тифлопедагог), учитель-логопед, педагог-психолог, </w:t>
            </w:r>
            <w:proofErr w:type="spellStart"/>
            <w:r>
              <w:t>тьютор</w:t>
            </w:r>
            <w:proofErr w:type="spellEnd"/>
            <w:r>
              <w:t>, ассистент (помощник) из расчета 1 штатная единица:</w:t>
            </w:r>
          </w:p>
          <w:p w:rsidR="009527D7" w:rsidRDefault="009527D7" w:rsidP="00A15EA8">
            <w:pPr>
              <w:pStyle w:val="ConsPlusNormal"/>
              <w:jc w:val="both"/>
            </w:pPr>
            <w:r>
              <w:t xml:space="preserve">- учителя-дефектолога (сурдопедагога, тифлопедагога, </w:t>
            </w:r>
            <w:proofErr w:type="spellStart"/>
            <w:r>
              <w:t>олигофренопедагога</w:t>
            </w:r>
            <w:proofErr w:type="spellEnd"/>
            <w:r>
              <w:t xml:space="preserve">) на каждые 5 - 12 </w:t>
            </w:r>
            <w:proofErr w:type="gramStart"/>
            <w:r>
              <w:t>обучающихся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 w:val="restart"/>
          </w:tcPr>
          <w:p w:rsidR="009527D7" w:rsidRDefault="009527D7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21</w:t>
              </w:r>
            </w:hyperlink>
            <w:r>
              <w:t xml:space="preserve"> Порядка N 373</w:t>
            </w: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- учителя-логопеда на каждые 5 - 12 </w:t>
            </w:r>
            <w:proofErr w:type="gramStart"/>
            <w:r>
              <w:t>обучающихся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- педагога-психолога на каждые 20 </w:t>
            </w:r>
            <w:proofErr w:type="gramStart"/>
            <w:r>
              <w:t>обучающихся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- </w:t>
            </w:r>
            <w:proofErr w:type="spellStart"/>
            <w:r>
              <w:t>тьютора</w:t>
            </w:r>
            <w:proofErr w:type="spellEnd"/>
            <w:r>
              <w:t xml:space="preserve"> на каждые 1 - 5 </w:t>
            </w:r>
            <w:proofErr w:type="gramStart"/>
            <w:r>
              <w:t>обучающихся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  <w:tr w:rsidR="009527D7" w:rsidTr="00A15EA8">
        <w:tc>
          <w:tcPr>
            <w:tcW w:w="658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4649" w:type="dxa"/>
          </w:tcPr>
          <w:p w:rsidR="009527D7" w:rsidRDefault="009527D7" w:rsidP="00A15EA8">
            <w:pPr>
              <w:pStyle w:val="ConsPlusNormal"/>
              <w:jc w:val="both"/>
            </w:pPr>
            <w:r>
              <w:t xml:space="preserve">- ассистента (помощника) на каждые 1 - 5 </w:t>
            </w:r>
            <w:proofErr w:type="gramStart"/>
            <w:r>
              <w:t>обучающихся</w:t>
            </w:r>
            <w:proofErr w:type="gramEnd"/>
            <w:r>
              <w:t xml:space="preserve">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1474" w:type="dxa"/>
          </w:tcPr>
          <w:p w:rsidR="009527D7" w:rsidRDefault="009527D7" w:rsidP="00A15EA8">
            <w:pPr>
              <w:pStyle w:val="ConsPlusNormal"/>
            </w:pPr>
          </w:p>
        </w:tc>
        <w:tc>
          <w:tcPr>
            <w:tcW w:w="907" w:type="dxa"/>
          </w:tcPr>
          <w:p w:rsidR="009527D7" w:rsidRDefault="009527D7" w:rsidP="00A15EA8">
            <w:pPr>
              <w:pStyle w:val="ConsPlusNormal"/>
            </w:pPr>
          </w:p>
        </w:tc>
      </w:tr>
    </w:tbl>
    <w:p w:rsidR="009527D7" w:rsidRDefault="009527D7" w:rsidP="009527D7">
      <w:pPr>
        <w:pStyle w:val="ConsPlusNormal"/>
        <w:sectPr w:rsidR="009527D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27D7" w:rsidRDefault="009527D7" w:rsidP="009527D7">
      <w:pPr>
        <w:pStyle w:val="ConsPlusNormal"/>
        <w:ind w:firstLine="540"/>
        <w:jc w:val="both"/>
      </w:pPr>
    </w:p>
    <w:p w:rsidR="009527D7" w:rsidRDefault="009527D7" w:rsidP="009527D7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9527D7" w:rsidRDefault="009527D7" w:rsidP="009527D7">
      <w:pPr>
        <w:pStyle w:val="ConsPlusNonformat"/>
        <w:jc w:val="both"/>
      </w:pPr>
    </w:p>
    <w:p w:rsidR="009527D7" w:rsidRDefault="009527D7" w:rsidP="009527D7">
      <w:pPr>
        <w:pStyle w:val="ConsPlusNonformat"/>
        <w:jc w:val="both"/>
      </w:pPr>
      <w:r>
        <w:t>______________________________________________________   __________________</w:t>
      </w:r>
    </w:p>
    <w:p w:rsidR="009527D7" w:rsidRDefault="009527D7" w:rsidP="009527D7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9527D7" w:rsidRDefault="009527D7" w:rsidP="009527D7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9527D7" w:rsidRDefault="009527D7" w:rsidP="009527D7">
      <w:pPr>
        <w:pStyle w:val="ConsPlusNormal"/>
        <w:ind w:firstLine="540"/>
        <w:jc w:val="both"/>
      </w:pPr>
    </w:p>
    <w:p w:rsidR="009527D7" w:rsidRDefault="009527D7" w:rsidP="009527D7">
      <w:pPr>
        <w:pStyle w:val="ConsPlusNormal"/>
        <w:ind w:firstLine="540"/>
        <w:jc w:val="both"/>
      </w:pPr>
      <w:r>
        <w:t>--------------------------------</w:t>
      </w:r>
    </w:p>
    <w:p w:rsidR="009527D7" w:rsidRDefault="009527D7" w:rsidP="009527D7">
      <w:pPr>
        <w:pStyle w:val="ConsPlusNormal"/>
        <w:spacing w:before="220"/>
        <w:ind w:firstLine="540"/>
        <w:jc w:val="both"/>
      </w:pPr>
      <w:bookmarkStart w:id="1" w:name="P5076"/>
      <w:bookmarkEnd w:id="1"/>
      <w:r>
        <w:t xml:space="preserve">&lt;1&gt; Утвержден </w:t>
      </w:r>
      <w:hyperlink r:id="rId17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31 июля 2020 г. N 373 (зарегистрирован Минюстом России 31 августа 2020 г., регистрационный N 59599) с изменениями, внесенными приказами Министерства просвещения Российской Федерации от 1 декабря 2022 г. N 1048 (зарегистрирован Министерством юстиции Российской Федерации 12 января 2023 г., регистрационный N 1048); от 25 октября 2023 г. N 783 (зарегистрирован Министерством юстиции Российской Федерации 23 ноября 2023 г., регистрационный N 76080), действует до 1 сентября 2026 года.</w:t>
      </w:r>
    </w:p>
    <w:p w:rsidR="00C55AB9" w:rsidRDefault="009527D7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0A"/>
    <w:rsid w:val="003A6560"/>
    <w:rsid w:val="009527D7"/>
    <w:rsid w:val="00B5247B"/>
    <w:rsid w:val="00D76BC3"/>
    <w:rsid w:val="00F719B0"/>
    <w:rsid w:val="00F7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9527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27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9527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27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7396&amp;dst=100057" TargetMode="External"/><Relationship Id="rId13" Type="http://schemas.openxmlformats.org/officeDocument/2006/relationships/hyperlink" Target="https://login.consultant.ru/link/?req=doc&amp;base=LAW&amp;n=437396&amp;dst=10008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7396&amp;dst=100033" TargetMode="External"/><Relationship Id="rId12" Type="http://schemas.openxmlformats.org/officeDocument/2006/relationships/hyperlink" Target="https://login.consultant.ru/link/?req=doc&amp;base=LAW&amp;n=437396&amp;dst=100080" TargetMode="External"/><Relationship Id="rId17" Type="http://schemas.openxmlformats.org/officeDocument/2006/relationships/hyperlink" Target="https://login.consultant.ru/link/?req=doc&amp;base=LAW&amp;n=4373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7396&amp;dst=10010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7396&amp;dst=100033" TargetMode="External"/><Relationship Id="rId11" Type="http://schemas.openxmlformats.org/officeDocument/2006/relationships/hyperlink" Target="https://login.consultant.ru/link/?req=doc&amp;base=LAW&amp;n=437396&amp;dst=100080" TargetMode="External"/><Relationship Id="rId5" Type="http://schemas.openxmlformats.org/officeDocument/2006/relationships/hyperlink" Target="https://login.consultant.ru/link/?req=doc&amp;base=LAW&amp;n=437396&amp;dst=100033" TargetMode="External"/><Relationship Id="rId15" Type="http://schemas.openxmlformats.org/officeDocument/2006/relationships/hyperlink" Target="https://login.consultant.ru/link/?req=doc&amp;base=LAW&amp;n=437396&amp;dst=100106" TargetMode="External"/><Relationship Id="rId10" Type="http://schemas.openxmlformats.org/officeDocument/2006/relationships/hyperlink" Target="https://login.consultant.ru/link/?req=doc&amp;base=LAW&amp;n=437396&amp;dst=10006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7396&amp;dst=100057" TargetMode="External"/><Relationship Id="rId14" Type="http://schemas.openxmlformats.org/officeDocument/2006/relationships/hyperlink" Target="https://login.consultant.ru/link/?req=doc&amp;base=LAW&amp;n=437396&amp;dst=100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1594</Words>
  <Characters>9087</Characters>
  <Application>Microsoft Office Word</Application>
  <DocSecurity>0</DocSecurity>
  <Lines>75</Lines>
  <Paragraphs>21</Paragraphs>
  <ScaleCrop>false</ScaleCrop>
  <Company/>
  <LinksUpToDate>false</LinksUpToDate>
  <CharactersWithSpaces>10660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2024-08-26T06:43:00Z</dcterms:created>
  <dcterms:modified xsi:type="dcterms:W3CDTF">2024-08-26T06:43:00Z</dcterms:modified>
</cp:coreProperties>
</file>